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59C7AB" w14:textId="371ACE35" w:rsidR="000E19CA" w:rsidRPr="00500C4E" w:rsidRDefault="00F22B12" w:rsidP="000E19CA">
      <w:pPr>
        <w:pStyle w:val="WPnumber"/>
      </w:pPr>
      <w:bookmarkStart w:id="0" w:name="_Toc153189647"/>
      <w:r>
        <w:t xml:space="preserve">  </w:t>
      </w:r>
      <w:r w:rsidR="00E6385A">
        <w:t xml:space="preserve">Short Form </w:t>
      </w:r>
      <w:r w:rsidR="00F117C6" w:rsidRPr="00500C4E">
        <w:t>Work Paper</w:t>
      </w:r>
      <w:r w:rsidR="00E6385A">
        <w:t xml:space="preserve"> </w:t>
      </w:r>
      <w:r w:rsidR="000E19CA">
        <w:t>WPSDGE</w:t>
      </w:r>
      <w:r w:rsidR="00B84B23">
        <w:t>NR</w:t>
      </w:r>
      <w:r w:rsidR="000A1CD2">
        <w:t>LG0</w:t>
      </w:r>
      <w:r w:rsidR="0045550F">
        <w:t>0</w:t>
      </w:r>
      <w:r w:rsidR="000A1CD2">
        <w:t>8</w:t>
      </w:r>
      <w:r w:rsidR="002A3E21">
        <w:t>0</w:t>
      </w:r>
    </w:p>
    <w:p w14:paraId="4659C7AC" w14:textId="5CD2E6AA" w:rsidR="00E6385A" w:rsidRPr="00500C4E" w:rsidRDefault="00E6385A" w:rsidP="00F117C6">
      <w:pPr>
        <w:pStyle w:val="WPnumber"/>
      </w:pPr>
      <w:r>
        <w:tab/>
      </w:r>
      <w:r w:rsidR="000E19CA">
        <w:rPr>
          <w:rStyle w:val="CaptionChar"/>
          <w:b/>
          <w:bCs w:val="0"/>
        </w:rPr>
        <w:t xml:space="preserve">Revision </w:t>
      </w:r>
      <w:r w:rsidR="00225471">
        <w:rPr>
          <w:rStyle w:val="CaptionChar"/>
          <w:b/>
          <w:bCs w:val="0"/>
        </w:rPr>
        <w:t>4</w:t>
      </w:r>
    </w:p>
    <w:bookmarkEnd w:id="0"/>
    <w:p w14:paraId="4659C7AD" w14:textId="77777777" w:rsidR="00F117C6" w:rsidRPr="00500C4E" w:rsidRDefault="00F117C6" w:rsidP="00F117C6">
      <w:pPr>
        <w:jc w:val="right"/>
        <w:rPr>
          <w:rFonts w:cstheme="minorHAnsi"/>
          <w:b/>
          <w:sz w:val="48"/>
          <w:szCs w:val="48"/>
        </w:rPr>
      </w:pPr>
    </w:p>
    <w:p w14:paraId="4659C7AE" w14:textId="77777777" w:rsidR="00E6385A" w:rsidRPr="00E6385A" w:rsidRDefault="00E6385A" w:rsidP="00E6385A">
      <w:pPr>
        <w:pBdr>
          <w:bottom w:val="single" w:sz="4" w:space="1" w:color="auto"/>
        </w:pBdr>
        <w:rPr>
          <w:rFonts w:cstheme="minorHAnsi"/>
          <w:b/>
          <w:sz w:val="36"/>
          <w:szCs w:val="36"/>
        </w:rPr>
      </w:pPr>
      <w:r w:rsidRPr="00E6385A">
        <w:rPr>
          <w:rFonts w:cstheme="minorHAnsi"/>
          <w:b/>
          <w:sz w:val="36"/>
          <w:szCs w:val="36"/>
        </w:rPr>
        <w:t>San Diego Gas &amp; Electric</w:t>
      </w:r>
    </w:p>
    <w:p w14:paraId="4659C7AF" w14:textId="77777777" w:rsidR="00E6385A" w:rsidRPr="00E6385A" w:rsidRDefault="00E6385A" w:rsidP="00E6385A">
      <w:pPr>
        <w:rPr>
          <w:rFonts w:cstheme="minorHAnsi"/>
          <w:b/>
          <w:sz w:val="32"/>
        </w:rPr>
      </w:pPr>
      <w:r w:rsidRPr="00E6385A">
        <w:rPr>
          <w:rFonts w:cstheme="minorHAnsi"/>
          <w:b/>
          <w:sz w:val="32"/>
        </w:rPr>
        <w:t>Energy Efficiency Engineering</w:t>
      </w:r>
    </w:p>
    <w:p w14:paraId="4659C7B0" w14:textId="77777777" w:rsidR="00F117C6" w:rsidRPr="00500C4E" w:rsidRDefault="00F117C6" w:rsidP="00F117C6">
      <w:pPr>
        <w:rPr>
          <w:rFonts w:cstheme="minorHAnsi"/>
        </w:rPr>
      </w:pPr>
    </w:p>
    <w:p w14:paraId="4659C7B1" w14:textId="77777777" w:rsidR="00F117C6" w:rsidRPr="00500C4E" w:rsidRDefault="00F117C6" w:rsidP="00F117C6">
      <w:pPr>
        <w:tabs>
          <w:tab w:val="left" w:pos="8190"/>
        </w:tabs>
        <w:rPr>
          <w:rFonts w:cstheme="minorHAnsi"/>
        </w:rPr>
      </w:pPr>
      <w:r w:rsidRPr="00500C4E">
        <w:rPr>
          <w:rFonts w:cstheme="minorHAnsi"/>
        </w:rPr>
        <w:tab/>
      </w:r>
    </w:p>
    <w:p w14:paraId="4659C7B2" w14:textId="77777777" w:rsidR="00F117C6" w:rsidRPr="00500C4E" w:rsidRDefault="00F117C6" w:rsidP="00F117C6">
      <w:pPr>
        <w:rPr>
          <w:rFonts w:cstheme="minorHAnsi"/>
        </w:rPr>
      </w:pPr>
    </w:p>
    <w:p w14:paraId="4659C7B3" w14:textId="77777777" w:rsidR="00F117C6" w:rsidRPr="00500C4E" w:rsidRDefault="00F117C6" w:rsidP="00F117C6">
      <w:pPr>
        <w:rPr>
          <w:rFonts w:cstheme="minorHAnsi"/>
        </w:rPr>
      </w:pPr>
    </w:p>
    <w:p w14:paraId="4659C7B4" w14:textId="77777777" w:rsidR="00F117C6" w:rsidRPr="00500C4E" w:rsidRDefault="00F117C6" w:rsidP="00F117C6">
      <w:pPr>
        <w:rPr>
          <w:rFonts w:cstheme="minorHAnsi"/>
        </w:rPr>
      </w:pPr>
    </w:p>
    <w:p w14:paraId="4659C7B5" w14:textId="77777777" w:rsidR="00F117C6" w:rsidRPr="00500C4E" w:rsidRDefault="00F117C6" w:rsidP="00F117C6">
      <w:pPr>
        <w:rPr>
          <w:rFonts w:cstheme="minorHAnsi"/>
        </w:rPr>
      </w:pPr>
    </w:p>
    <w:p w14:paraId="4659C7B6" w14:textId="77777777" w:rsidR="00F117C6" w:rsidRPr="00500C4E" w:rsidRDefault="00F117C6" w:rsidP="00B84B23">
      <w:pPr>
        <w:rPr>
          <w:rFonts w:cstheme="minorHAnsi"/>
        </w:rPr>
      </w:pPr>
    </w:p>
    <w:p w14:paraId="4659C7B7" w14:textId="7EBA23D7" w:rsidR="000E19CA" w:rsidRDefault="000A1CD2" w:rsidP="00B84B23">
      <w:pPr>
        <w:rPr>
          <w:rFonts w:cstheme="minorHAnsi"/>
          <w:b/>
          <w:sz w:val="28"/>
          <w:szCs w:val="28"/>
        </w:rPr>
      </w:pPr>
      <w:r>
        <w:rPr>
          <w:rFonts w:cstheme="minorHAnsi"/>
          <w:b/>
          <w:sz w:val="72"/>
          <w:szCs w:val="72"/>
        </w:rPr>
        <w:t xml:space="preserve">LED </w:t>
      </w:r>
      <w:r w:rsidR="002A3E21">
        <w:rPr>
          <w:rFonts w:cstheme="minorHAnsi"/>
          <w:b/>
          <w:sz w:val="72"/>
          <w:szCs w:val="72"/>
        </w:rPr>
        <w:t>High-Bay and Low-Bay Fixtures</w:t>
      </w:r>
      <w:r w:rsidR="000E19CA" w:rsidRPr="000E19CA">
        <w:rPr>
          <w:rFonts w:cstheme="minorHAnsi"/>
          <w:b/>
          <w:sz w:val="28"/>
          <w:szCs w:val="28"/>
        </w:rPr>
        <w:t xml:space="preserve"> </w:t>
      </w:r>
    </w:p>
    <w:p w14:paraId="45FDF84D" w14:textId="76DCE831" w:rsidR="00771CE2" w:rsidRDefault="00225471" w:rsidP="00B84B23">
      <w:pPr>
        <w:rPr>
          <w:rFonts w:cstheme="minorHAnsi"/>
          <w:b/>
          <w:sz w:val="28"/>
          <w:szCs w:val="28"/>
        </w:rPr>
      </w:pPr>
      <w:r>
        <w:rPr>
          <w:rFonts w:cstheme="minorHAnsi"/>
          <w:b/>
          <w:sz w:val="28"/>
          <w:szCs w:val="28"/>
        </w:rPr>
        <w:br w:type="textWrapping" w:clear="all"/>
      </w:r>
      <w:r w:rsidR="00737A22">
        <w:rPr>
          <w:rFonts w:cstheme="minorHAnsi"/>
          <w:b/>
          <w:sz w:val="28"/>
          <w:szCs w:val="28"/>
        </w:rPr>
        <w:t>Implementation IDs: 465243-465278</w:t>
      </w:r>
    </w:p>
    <w:p w14:paraId="4659C7B8" w14:textId="77777777" w:rsidR="000E19CA" w:rsidRDefault="000E19CA" w:rsidP="000E19CA">
      <w:pPr>
        <w:jc w:val="right"/>
        <w:rPr>
          <w:rFonts w:cstheme="minorHAnsi"/>
          <w:b/>
          <w:sz w:val="28"/>
          <w:szCs w:val="28"/>
        </w:rPr>
      </w:pPr>
    </w:p>
    <w:p w14:paraId="4659C7BD" w14:textId="77777777" w:rsidR="000E19CA" w:rsidRDefault="000E19CA" w:rsidP="000E19CA">
      <w:pPr>
        <w:jc w:val="right"/>
        <w:rPr>
          <w:rFonts w:cstheme="minorHAnsi"/>
          <w:b/>
          <w:sz w:val="28"/>
          <w:szCs w:val="28"/>
        </w:rPr>
      </w:pPr>
    </w:p>
    <w:p w14:paraId="4659C7BE" w14:textId="77777777" w:rsidR="000E19CA" w:rsidRDefault="000E19CA" w:rsidP="000E19CA">
      <w:pPr>
        <w:jc w:val="right"/>
        <w:rPr>
          <w:rFonts w:cstheme="minorHAnsi"/>
          <w:b/>
          <w:sz w:val="28"/>
          <w:szCs w:val="28"/>
        </w:rPr>
      </w:pPr>
    </w:p>
    <w:p w14:paraId="4659C7BF" w14:textId="77777777" w:rsidR="000E19CA" w:rsidRDefault="000E19CA" w:rsidP="000E19CA">
      <w:pPr>
        <w:jc w:val="right"/>
        <w:rPr>
          <w:rFonts w:cstheme="minorHAnsi"/>
          <w:b/>
          <w:sz w:val="28"/>
          <w:szCs w:val="28"/>
        </w:rPr>
      </w:pPr>
    </w:p>
    <w:p w14:paraId="4659C7C0" w14:textId="77777777" w:rsidR="000E19CA" w:rsidRDefault="000E19CA" w:rsidP="000E19CA">
      <w:pPr>
        <w:jc w:val="right"/>
        <w:rPr>
          <w:rFonts w:cstheme="minorHAnsi"/>
          <w:b/>
          <w:sz w:val="28"/>
          <w:szCs w:val="28"/>
        </w:rPr>
      </w:pPr>
    </w:p>
    <w:p w14:paraId="4659C7C1" w14:textId="77777777" w:rsidR="000E19CA" w:rsidRDefault="000E19CA" w:rsidP="000E19CA">
      <w:pPr>
        <w:jc w:val="right"/>
        <w:rPr>
          <w:rFonts w:cstheme="minorHAnsi"/>
          <w:b/>
          <w:sz w:val="28"/>
          <w:szCs w:val="28"/>
        </w:rPr>
      </w:pPr>
    </w:p>
    <w:p w14:paraId="4659C7C2" w14:textId="77777777" w:rsidR="000E19CA" w:rsidRDefault="000E19CA" w:rsidP="000E19CA">
      <w:pPr>
        <w:jc w:val="right"/>
        <w:rPr>
          <w:rFonts w:cstheme="minorHAnsi"/>
          <w:b/>
          <w:sz w:val="28"/>
          <w:szCs w:val="28"/>
        </w:rPr>
      </w:pPr>
    </w:p>
    <w:p w14:paraId="4659C7C3" w14:textId="77777777" w:rsidR="000E19CA" w:rsidRDefault="000E19CA" w:rsidP="000E19CA">
      <w:pPr>
        <w:jc w:val="right"/>
        <w:rPr>
          <w:rFonts w:cstheme="minorHAnsi"/>
          <w:b/>
          <w:sz w:val="28"/>
          <w:szCs w:val="28"/>
        </w:rPr>
      </w:pPr>
    </w:p>
    <w:p w14:paraId="4659C7C4" w14:textId="77777777" w:rsidR="000E19CA" w:rsidRDefault="000E19CA" w:rsidP="000E19CA">
      <w:pPr>
        <w:jc w:val="right"/>
        <w:rPr>
          <w:rFonts w:cstheme="minorHAnsi"/>
          <w:b/>
          <w:sz w:val="28"/>
          <w:szCs w:val="28"/>
        </w:rPr>
      </w:pPr>
    </w:p>
    <w:p w14:paraId="4659C7C5" w14:textId="77777777" w:rsidR="000E19CA" w:rsidRDefault="000E19CA" w:rsidP="000E19CA">
      <w:pPr>
        <w:jc w:val="right"/>
        <w:rPr>
          <w:rFonts w:cstheme="minorHAnsi"/>
          <w:b/>
          <w:sz w:val="28"/>
          <w:szCs w:val="28"/>
        </w:rPr>
      </w:pPr>
    </w:p>
    <w:p w14:paraId="4659C7C8" w14:textId="77777777" w:rsidR="000E19CA" w:rsidRDefault="000E19CA" w:rsidP="000E19CA">
      <w:pPr>
        <w:jc w:val="right"/>
        <w:rPr>
          <w:rFonts w:cstheme="minorHAnsi"/>
          <w:b/>
          <w:sz w:val="28"/>
          <w:szCs w:val="28"/>
        </w:rPr>
      </w:pPr>
    </w:p>
    <w:p w14:paraId="4659C7C9" w14:textId="77777777" w:rsidR="00E372B8" w:rsidRDefault="00E372B8" w:rsidP="000E19CA">
      <w:pPr>
        <w:jc w:val="right"/>
        <w:rPr>
          <w:rFonts w:cstheme="minorHAnsi"/>
          <w:b/>
          <w:sz w:val="28"/>
          <w:szCs w:val="28"/>
        </w:rPr>
      </w:pPr>
    </w:p>
    <w:p w14:paraId="4659C7CA" w14:textId="12CDBDC6" w:rsidR="00E372B8" w:rsidRDefault="00225471" w:rsidP="00241A1F">
      <w:pPr>
        <w:jc w:val="right"/>
        <w:rPr>
          <w:rFonts w:cstheme="minorHAnsi"/>
          <w:b/>
          <w:sz w:val="28"/>
          <w:szCs w:val="28"/>
        </w:rPr>
      </w:pPr>
      <w:r>
        <w:rPr>
          <w:rFonts w:cstheme="minorHAnsi"/>
          <w:b/>
          <w:sz w:val="28"/>
          <w:szCs w:val="28"/>
        </w:rPr>
        <w:t xml:space="preserve">June </w:t>
      </w:r>
      <w:r w:rsidR="00F50541">
        <w:rPr>
          <w:rFonts w:cstheme="minorHAnsi"/>
          <w:b/>
          <w:sz w:val="28"/>
          <w:szCs w:val="28"/>
        </w:rPr>
        <w:t>4</w:t>
      </w:r>
      <w:r w:rsidR="000E19CA">
        <w:rPr>
          <w:rFonts w:cstheme="minorHAnsi"/>
          <w:b/>
          <w:sz w:val="28"/>
          <w:szCs w:val="28"/>
        </w:rPr>
        <w:t>, 201</w:t>
      </w:r>
      <w:r>
        <w:rPr>
          <w:rFonts w:cstheme="minorHAnsi"/>
          <w:b/>
          <w:sz w:val="28"/>
          <w:szCs w:val="28"/>
        </w:rPr>
        <w:t>8</w:t>
      </w:r>
    </w:p>
    <w:p w14:paraId="4659C7CB" w14:textId="77777777" w:rsidR="00E372B8" w:rsidRPr="000F72EF" w:rsidRDefault="00E372B8" w:rsidP="00241A1F">
      <w:pPr>
        <w:jc w:val="right"/>
        <w:rPr>
          <w:rFonts w:cstheme="minorHAnsi"/>
          <w:b/>
          <w:sz w:val="72"/>
          <w:szCs w:val="72"/>
        </w:rPr>
        <w:sectPr w:rsidR="00E372B8" w:rsidRPr="000F72EF" w:rsidSect="00241A1F">
          <w:footerReference w:type="default" r:id="rId9"/>
          <w:pgSz w:w="12240" w:h="15840"/>
          <w:pgMar w:top="1440" w:right="1440" w:bottom="1440" w:left="1440" w:header="720" w:footer="720" w:gutter="0"/>
          <w:cols w:space="720"/>
          <w:titlePg/>
          <w:docGrid w:linePitch="360"/>
        </w:sectPr>
      </w:pPr>
    </w:p>
    <w:p w14:paraId="4659C7CC" w14:textId="04F4AFD8" w:rsidR="00FE520B" w:rsidRDefault="0059117D" w:rsidP="00FE520B">
      <w:pPr>
        <w:pStyle w:val="Heading1"/>
      </w:pPr>
      <w:r>
        <w:lastRenderedPageBreak/>
        <w:t xml:space="preserve">SDG&amp;E </w:t>
      </w:r>
      <w:r w:rsidR="0085355C">
        <w:t xml:space="preserve">LED </w:t>
      </w:r>
      <w:r w:rsidR="002A3E21">
        <w:t>High/Low Bay Fixtures Sh</w:t>
      </w:r>
      <w:r>
        <w:t>ort Form Workpaper</w:t>
      </w:r>
    </w:p>
    <w:p w14:paraId="4659C7CD" w14:textId="77777777" w:rsidR="00413EF4" w:rsidRDefault="00413EF4" w:rsidP="00413EF4">
      <w:pPr>
        <w:pStyle w:val="Heading2"/>
      </w:pPr>
      <w:r>
        <w:t>Introduction</w:t>
      </w:r>
    </w:p>
    <w:p w14:paraId="23588CD0" w14:textId="6A3551F0" w:rsidR="008C51D1" w:rsidRDefault="008C51D1" w:rsidP="008C51D1">
      <w:r>
        <w:t xml:space="preserve">This short form workpaper documents the adoption of PEAR database DEER Measure IDs and PG&amp;E’s interim </w:t>
      </w:r>
      <w:r>
        <w:t>High-Bay and Low-Bay Lighting</w:t>
      </w:r>
      <w:r>
        <w:t xml:space="preserve"> workpaper (PGECOLTG</w:t>
      </w:r>
      <w:r>
        <w:t>178</w:t>
      </w:r>
      <w:r>
        <w:t xml:space="preserve"> Rev</w:t>
      </w:r>
      <w:r>
        <w:t>3</w:t>
      </w:r>
      <w:r>
        <w:t xml:space="preserve">) for calculating ex-ante savings impacts and cost-effectiveness values used for LED </w:t>
      </w:r>
      <w:r>
        <w:t xml:space="preserve">High-Bay and Low-Bay </w:t>
      </w:r>
      <w:r>
        <w:t>lighting</w:t>
      </w:r>
      <w:r>
        <w:t xml:space="preserve"> fixtures</w:t>
      </w:r>
      <w:r>
        <w:t xml:space="preserve">. The savings and costs are based on READi version 2.4.8 Preliminary Review Database values. </w:t>
      </w:r>
    </w:p>
    <w:p w14:paraId="171EDEDB" w14:textId="77777777" w:rsidR="008C51D1" w:rsidRDefault="008C51D1" w:rsidP="008C51D1"/>
    <w:p w14:paraId="1658427D" w14:textId="77777777" w:rsidR="008C51D1" w:rsidRDefault="008C51D1" w:rsidP="008C51D1">
      <w:r>
        <w:t xml:space="preserve">Exceptions and Clarifications </w:t>
      </w:r>
    </w:p>
    <w:p w14:paraId="52FB8176" w14:textId="77777777" w:rsidR="008C51D1" w:rsidRPr="00C83693" w:rsidRDefault="008C51D1" w:rsidP="008C51D1">
      <w:pPr>
        <w:pStyle w:val="ListParagraph"/>
        <w:numPr>
          <w:ilvl w:val="0"/>
          <w:numId w:val="21"/>
        </w:numPr>
        <w:rPr>
          <w:rFonts w:cstheme="minorHAnsi"/>
          <w:sz w:val="20"/>
          <w:szCs w:val="20"/>
        </w:rPr>
      </w:pPr>
      <w:r>
        <w:t xml:space="preserve">For ease of reporting claims process, the PEAR Measure Cost ID cost type was updated to “FULL” </w:t>
      </w:r>
    </w:p>
    <w:p w14:paraId="15A273B9" w14:textId="77777777" w:rsidR="008C51D1" w:rsidRPr="00C83693" w:rsidRDefault="008C51D1" w:rsidP="008C51D1">
      <w:pPr>
        <w:pStyle w:val="ListParagraph"/>
        <w:numPr>
          <w:ilvl w:val="0"/>
          <w:numId w:val="21"/>
        </w:numPr>
        <w:rPr>
          <w:rFonts w:cstheme="minorHAnsi"/>
          <w:sz w:val="20"/>
          <w:szCs w:val="20"/>
        </w:rPr>
      </w:pPr>
      <w:r>
        <w:t xml:space="preserve"> Standard Cost ID = “BaseCostZero” = 0.  </w:t>
      </w:r>
    </w:p>
    <w:p w14:paraId="143E2A3F" w14:textId="77777777" w:rsidR="008C51D1" w:rsidRPr="00D54CCE" w:rsidRDefault="008C51D1" w:rsidP="008C51D1">
      <w:pPr>
        <w:pStyle w:val="ListParagraph"/>
        <w:numPr>
          <w:ilvl w:val="0"/>
          <w:numId w:val="21"/>
        </w:numPr>
        <w:rPr>
          <w:rFonts w:cstheme="minorHAnsi"/>
          <w:sz w:val="20"/>
          <w:szCs w:val="20"/>
        </w:rPr>
      </w:pPr>
      <w:r>
        <w:t xml:space="preserve">Incremental Measure Cost = IMC </w:t>
      </w:r>
    </w:p>
    <w:p w14:paraId="2FE7628B" w14:textId="0AD10116" w:rsidR="008C51D1" w:rsidRPr="008C51D1" w:rsidRDefault="008C51D1" w:rsidP="008C51D1">
      <w:pPr>
        <w:pStyle w:val="ListParagraph"/>
        <w:numPr>
          <w:ilvl w:val="0"/>
          <w:numId w:val="21"/>
        </w:numPr>
        <w:rPr>
          <w:rFonts w:cstheme="minorHAnsi"/>
          <w:sz w:val="20"/>
          <w:szCs w:val="20"/>
        </w:rPr>
      </w:pPr>
      <w:r>
        <w:t>Table below provided by PGE workpaper (PGECOLTG1</w:t>
      </w:r>
      <w:r>
        <w:t>78</w:t>
      </w:r>
      <w:r>
        <w:t xml:space="preserve"> R</w:t>
      </w:r>
      <w:r>
        <w:t>3</w:t>
      </w:r>
      <w:r>
        <w:t xml:space="preserve"> </w:t>
      </w:r>
      <w:r>
        <w:t>LED High-Bay and Low-Bay Fixtures</w:t>
      </w:r>
      <w:r>
        <w:t>)</w:t>
      </w:r>
    </w:p>
    <w:p w14:paraId="0F235787" w14:textId="26813D94" w:rsidR="008C51D1" w:rsidRDefault="008C51D1" w:rsidP="008C51D1">
      <w:pPr>
        <w:rPr>
          <w:rFonts w:cstheme="minorHAnsi"/>
          <w:sz w:val="20"/>
          <w:szCs w:val="20"/>
        </w:rPr>
      </w:pPr>
    </w:p>
    <w:p w14:paraId="47241A0D" w14:textId="22AF8536" w:rsidR="008C51D1" w:rsidRPr="008C51D1" w:rsidRDefault="008C51D1" w:rsidP="008C51D1">
      <w:pPr>
        <w:rPr>
          <w:rFonts w:cstheme="minorHAnsi"/>
          <w:sz w:val="20"/>
          <w:szCs w:val="20"/>
        </w:rPr>
      </w:pPr>
      <w:bookmarkStart w:id="1" w:name="_GoBack"/>
      <w:r>
        <w:rPr>
          <w:noProof/>
        </w:rPr>
        <w:drawing>
          <wp:inline distT="0" distB="0" distL="0" distR="0" wp14:anchorId="42962B01" wp14:editId="583650B8">
            <wp:extent cx="5943600" cy="1657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1657350"/>
                    </a:xfrm>
                    <a:prstGeom prst="rect">
                      <a:avLst/>
                    </a:prstGeom>
                  </pic:spPr>
                </pic:pic>
              </a:graphicData>
            </a:graphic>
          </wp:inline>
        </w:drawing>
      </w:r>
      <w:bookmarkEnd w:id="1"/>
    </w:p>
    <w:p w14:paraId="4659C7CF" w14:textId="77777777" w:rsidR="00413EF4" w:rsidRDefault="00413EF4" w:rsidP="00413EF4"/>
    <w:p w14:paraId="4659C7D0" w14:textId="77777777" w:rsidR="00B57F32" w:rsidRDefault="00B57F32" w:rsidP="00B57F32">
      <w:pPr>
        <w:pStyle w:val="Heading2"/>
      </w:pPr>
      <w:r w:rsidRPr="005734A4">
        <w:t>Document Revision History</w:t>
      </w:r>
      <w:r w:rsidRPr="0025216C">
        <w:t xml:space="preserve"> </w:t>
      </w:r>
    </w:p>
    <w:tbl>
      <w:tblPr>
        <w:tblStyle w:val="TableGrid11"/>
        <w:tblW w:w="5632" w:type="pct"/>
        <w:tblInd w:w="-455" w:type="dxa"/>
        <w:tblLook w:val="01E0" w:firstRow="1" w:lastRow="1" w:firstColumn="1" w:lastColumn="1" w:noHBand="0" w:noVBand="0"/>
      </w:tblPr>
      <w:tblGrid>
        <w:gridCol w:w="539"/>
        <w:gridCol w:w="1262"/>
        <w:gridCol w:w="2159"/>
        <w:gridCol w:w="6572"/>
      </w:tblGrid>
      <w:tr w:rsidR="00B57F32" w:rsidRPr="00500C4E" w14:paraId="4659C7D5" w14:textId="77777777" w:rsidTr="004A3B92">
        <w:trPr>
          <w:trHeight w:val="20"/>
        </w:trPr>
        <w:tc>
          <w:tcPr>
            <w:tcW w:w="256" w:type="pct"/>
            <w:shd w:val="clear" w:color="auto" w:fill="D9D9D9" w:themeFill="background1" w:themeFillShade="D9"/>
          </w:tcPr>
          <w:p w14:paraId="4659C7D1" w14:textId="77777777" w:rsidR="00B57F32" w:rsidRPr="000E2B6B" w:rsidRDefault="00B57F32" w:rsidP="00CA1893">
            <w:pPr>
              <w:rPr>
                <w:rStyle w:val="Strong"/>
                <w:bCs w:val="0"/>
              </w:rPr>
            </w:pPr>
            <w:r w:rsidRPr="000E2B6B">
              <w:rPr>
                <w:rStyle w:val="Strong"/>
              </w:rPr>
              <w:t>Rev</w:t>
            </w:r>
          </w:p>
        </w:tc>
        <w:tc>
          <w:tcPr>
            <w:tcW w:w="599" w:type="pct"/>
            <w:shd w:val="clear" w:color="auto" w:fill="D9D9D9" w:themeFill="background1" w:themeFillShade="D9"/>
          </w:tcPr>
          <w:p w14:paraId="4659C7D2" w14:textId="77777777" w:rsidR="00B57F32" w:rsidRPr="000E2B6B" w:rsidRDefault="00B57F32" w:rsidP="00CA1893">
            <w:pPr>
              <w:rPr>
                <w:rStyle w:val="Strong"/>
                <w:bCs w:val="0"/>
              </w:rPr>
            </w:pPr>
            <w:r w:rsidRPr="000E2B6B">
              <w:rPr>
                <w:rStyle w:val="Strong"/>
              </w:rPr>
              <w:t>Date</w:t>
            </w:r>
          </w:p>
        </w:tc>
        <w:tc>
          <w:tcPr>
            <w:tcW w:w="1025" w:type="pct"/>
            <w:shd w:val="clear" w:color="auto" w:fill="D9D9D9" w:themeFill="background1" w:themeFillShade="D9"/>
          </w:tcPr>
          <w:p w14:paraId="4659C7D3" w14:textId="77777777" w:rsidR="00B57F32" w:rsidRPr="000E2B6B" w:rsidRDefault="00B57F32" w:rsidP="00CA1893">
            <w:pPr>
              <w:rPr>
                <w:rStyle w:val="Strong"/>
                <w:bCs w:val="0"/>
              </w:rPr>
            </w:pPr>
            <w:r w:rsidRPr="000E2B6B">
              <w:rPr>
                <w:rStyle w:val="Strong"/>
              </w:rPr>
              <w:t>Author</w:t>
            </w:r>
          </w:p>
        </w:tc>
        <w:tc>
          <w:tcPr>
            <w:tcW w:w="3120" w:type="pct"/>
            <w:shd w:val="clear" w:color="auto" w:fill="D9D9D9" w:themeFill="background1" w:themeFillShade="D9"/>
          </w:tcPr>
          <w:p w14:paraId="4659C7D4" w14:textId="77777777" w:rsidR="00B57F32" w:rsidRPr="000E2B6B" w:rsidRDefault="00B57F32" w:rsidP="00CA1893">
            <w:pPr>
              <w:rPr>
                <w:rStyle w:val="Strong"/>
                <w:bCs w:val="0"/>
              </w:rPr>
            </w:pPr>
            <w:r w:rsidRPr="000E2B6B">
              <w:rPr>
                <w:rStyle w:val="Strong"/>
              </w:rPr>
              <w:t>Summary of Changes</w:t>
            </w:r>
          </w:p>
        </w:tc>
      </w:tr>
      <w:tr w:rsidR="00B57F32" w:rsidRPr="00500C4E" w14:paraId="4659C7DA" w14:textId="77777777" w:rsidTr="004A3B92">
        <w:trPr>
          <w:trHeight w:val="20"/>
        </w:trPr>
        <w:tc>
          <w:tcPr>
            <w:tcW w:w="256" w:type="pct"/>
            <w:vAlign w:val="center"/>
          </w:tcPr>
          <w:p w14:paraId="4659C7D6" w14:textId="647283A0" w:rsidR="00B57F32" w:rsidRPr="000E2B6B" w:rsidRDefault="0085355C" w:rsidP="00CA1893">
            <w:pPr>
              <w:jc w:val="center"/>
              <w:rPr>
                <w:rFonts w:cstheme="minorHAnsi"/>
                <w:szCs w:val="20"/>
              </w:rPr>
            </w:pPr>
            <w:r>
              <w:rPr>
                <w:rFonts w:cstheme="minorHAnsi"/>
                <w:szCs w:val="20"/>
              </w:rPr>
              <w:t>0</w:t>
            </w:r>
          </w:p>
        </w:tc>
        <w:tc>
          <w:tcPr>
            <w:tcW w:w="599" w:type="pct"/>
            <w:vAlign w:val="center"/>
          </w:tcPr>
          <w:p w14:paraId="4659C7D7" w14:textId="58426CE4" w:rsidR="00B57F32" w:rsidRPr="000E2B6B" w:rsidRDefault="00D01A6A" w:rsidP="00CA1893">
            <w:pPr>
              <w:jc w:val="center"/>
              <w:rPr>
                <w:rFonts w:cstheme="minorHAnsi"/>
                <w:szCs w:val="20"/>
              </w:rPr>
            </w:pPr>
            <w:r>
              <w:rPr>
                <w:rFonts w:cstheme="minorHAnsi"/>
                <w:szCs w:val="20"/>
              </w:rPr>
              <w:t>3/1/2009</w:t>
            </w:r>
          </w:p>
        </w:tc>
        <w:tc>
          <w:tcPr>
            <w:tcW w:w="1025" w:type="pct"/>
            <w:vAlign w:val="center"/>
          </w:tcPr>
          <w:p w14:paraId="05B5D6AE" w14:textId="11947862" w:rsidR="002A3E21" w:rsidRPr="009575EE" w:rsidRDefault="002A3E21" w:rsidP="002A3E21">
            <w:pPr>
              <w:tabs>
                <w:tab w:val="left" w:pos="4320"/>
              </w:tabs>
              <w:jc w:val="center"/>
              <w:rPr>
                <w:rFonts w:cstheme="minorHAnsi"/>
                <w:bCs/>
                <w:szCs w:val="20"/>
              </w:rPr>
            </w:pPr>
            <w:r w:rsidRPr="009575EE">
              <w:rPr>
                <w:rFonts w:cstheme="minorHAnsi"/>
                <w:bCs/>
                <w:szCs w:val="20"/>
              </w:rPr>
              <w:t>Prepared By:</w:t>
            </w:r>
            <w:r w:rsidR="004A3B92">
              <w:rPr>
                <w:rFonts w:cstheme="minorHAnsi"/>
                <w:bCs/>
                <w:szCs w:val="20"/>
              </w:rPr>
              <w:t xml:space="preserve"> </w:t>
            </w:r>
            <w:r w:rsidRPr="009575EE">
              <w:rPr>
                <w:rFonts w:cstheme="minorHAnsi"/>
                <w:bCs/>
                <w:szCs w:val="20"/>
              </w:rPr>
              <w:t>Daryl DeJean, Project Manager/Emerging Technologies Associates, Inc</w:t>
            </w:r>
          </w:p>
          <w:p w14:paraId="4659C7D8" w14:textId="2BF97999" w:rsidR="00B57F32" w:rsidRPr="000E2B6B" w:rsidRDefault="002A3E21" w:rsidP="002A3E21">
            <w:pPr>
              <w:jc w:val="center"/>
              <w:rPr>
                <w:rFonts w:cstheme="minorHAnsi"/>
                <w:szCs w:val="20"/>
              </w:rPr>
            </w:pPr>
            <w:r w:rsidRPr="009575EE">
              <w:rPr>
                <w:rFonts w:cstheme="minorHAnsi"/>
                <w:bCs/>
                <w:szCs w:val="20"/>
              </w:rPr>
              <w:t>A. Y. Ahmed  /San Diego Gas and Electric</w:t>
            </w:r>
          </w:p>
        </w:tc>
        <w:tc>
          <w:tcPr>
            <w:tcW w:w="3120" w:type="pct"/>
          </w:tcPr>
          <w:p w14:paraId="17E652D6" w14:textId="77777777" w:rsidR="002A3E21" w:rsidRPr="009575EE" w:rsidRDefault="002A3E21" w:rsidP="002A3E21">
            <w:pPr>
              <w:rPr>
                <w:rFonts w:cstheme="minorHAnsi"/>
                <w:bCs/>
                <w:szCs w:val="20"/>
              </w:rPr>
            </w:pPr>
            <w:r w:rsidRPr="009575EE">
              <w:rPr>
                <w:rFonts w:cstheme="minorHAnsi"/>
                <w:bCs/>
                <w:szCs w:val="20"/>
              </w:rPr>
              <w:t>Emerging Technologies Program Application Assessment Report</w:t>
            </w:r>
          </w:p>
          <w:p w14:paraId="4659C7D9" w14:textId="76BB8478" w:rsidR="00B57F32" w:rsidRPr="000E2B6B" w:rsidRDefault="00B57F32" w:rsidP="00CA1893">
            <w:pPr>
              <w:rPr>
                <w:rFonts w:cstheme="minorHAnsi"/>
              </w:rPr>
            </w:pPr>
          </w:p>
        </w:tc>
      </w:tr>
      <w:tr w:rsidR="00B57F32" w:rsidRPr="00500C4E" w14:paraId="4659C7DF" w14:textId="77777777" w:rsidTr="004A3B92">
        <w:trPr>
          <w:trHeight w:val="20"/>
        </w:trPr>
        <w:tc>
          <w:tcPr>
            <w:tcW w:w="256" w:type="pct"/>
            <w:vAlign w:val="center"/>
          </w:tcPr>
          <w:p w14:paraId="4659C7DB" w14:textId="183073BC" w:rsidR="00B57F32" w:rsidRPr="000E2B6B" w:rsidRDefault="0085355C" w:rsidP="00CA1893">
            <w:pPr>
              <w:jc w:val="center"/>
              <w:rPr>
                <w:rStyle w:val="Strong"/>
                <w:b w:val="0"/>
              </w:rPr>
            </w:pPr>
            <w:r>
              <w:rPr>
                <w:rStyle w:val="Strong"/>
                <w:b w:val="0"/>
              </w:rPr>
              <w:t>1</w:t>
            </w:r>
          </w:p>
        </w:tc>
        <w:tc>
          <w:tcPr>
            <w:tcW w:w="599" w:type="pct"/>
            <w:vAlign w:val="center"/>
          </w:tcPr>
          <w:p w14:paraId="4659C7DC" w14:textId="243C12E7" w:rsidR="00B57F32" w:rsidRPr="000E2B6B" w:rsidRDefault="00D01A6A" w:rsidP="00CA1893">
            <w:pPr>
              <w:jc w:val="center"/>
              <w:rPr>
                <w:rStyle w:val="Strong"/>
                <w:b w:val="0"/>
              </w:rPr>
            </w:pPr>
            <w:r>
              <w:rPr>
                <w:rStyle w:val="Strong"/>
                <w:b w:val="0"/>
              </w:rPr>
              <w:t>7/1/2009</w:t>
            </w:r>
          </w:p>
        </w:tc>
        <w:tc>
          <w:tcPr>
            <w:tcW w:w="1025" w:type="pct"/>
            <w:vAlign w:val="center"/>
          </w:tcPr>
          <w:p w14:paraId="4659C7DD" w14:textId="5D14B284" w:rsidR="00B57F32" w:rsidRPr="000E2B6B" w:rsidRDefault="002A3E21" w:rsidP="0085355C">
            <w:pPr>
              <w:jc w:val="center"/>
              <w:rPr>
                <w:rStyle w:val="Strong"/>
                <w:b w:val="0"/>
              </w:rPr>
            </w:pPr>
            <w:r w:rsidRPr="009575EE">
              <w:rPr>
                <w:rFonts w:cstheme="minorHAnsi"/>
                <w:bCs/>
                <w:szCs w:val="20"/>
              </w:rPr>
              <w:t>Lucie Sidibe /SDGE</w:t>
            </w:r>
          </w:p>
        </w:tc>
        <w:tc>
          <w:tcPr>
            <w:tcW w:w="3120" w:type="pct"/>
          </w:tcPr>
          <w:p w14:paraId="0F3BAEBE" w14:textId="77777777" w:rsidR="002A3E21" w:rsidRPr="009575EE" w:rsidRDefault="002A3E21" w:rsidP="002A3E21">
            <w:pPr>
              <w:numPr>
                <w:ilvl w:val="0"/>
                <w:numId w:val="12"/>
              </w:numPr>
              <w:rPr>
                <w:rFonts w:cstheme="minorHAnsi"/>
                <w:bCs/>
                <w:szCs w:val="20"/>
              </w:rPr>
            </w:pPr>
            <w:r w:rsidRPr="009575EE">
              <w:rPr>
                <w:rFonts w:cstheme="minorHAnsi"/>
                <w:bCs/>
                <w:szCs w:val="20"/>
              </w:rPr>
              <w:t>Run hours was reduced to accommodate for Deer 08 changes</w:t>
            </w:r>
          </w:p>
          <w:p w14:paraId="7FAB6BA3" w14:textId="77777777" w:rsidR="002A3E21" w:rsidRPr="009575EE" w:rsidRDefault="002A3E21" w:rsidP="002A3E21">
            <w:pPr>
              <w:numPr>
                <w:ilvl w:val="0"/>
                <w:numId w:val="12"/>
              </w:numPr>
              <w:rPr>
                <w:rFonts w:cstheme="minorHAnsi"/>
                <w:bCs/>
                <w:szCs w:val="20"/>
              </w:rPr>
            </w:pPr>
            <w:r w:rsidRPr="009575EE">
              <w:rPr>
                <w:rFonts w:cstheme="minorHAnsi"/>
                <w:bCs/>
                <w:szCs w:val="20"/>
              </w:rPr>
              <w:t>Saving calculation was redone to include interactive effect and negative therm data</w:t>
            </w:r>
          </w:p>
          <w:p w14:paraId="6E4D4A64" w14:textId="77777777" w:rsidR="002A3E21" w:rsidRPr="009575EE" w:rsidRDefault="002A3E21" w:rsidP="002A3E21">
            <w:pPr>
              <w:numPr>
                <w:ilvl w:val="0"/>
                <w:numId w:val="12"/>
              </w:numPr>
              <w:rPr>
                <w:rFonts w:cstheme="minorHAnsi"/>
                <w:bCs/>
                <w:szCs w:val="20"/>
              </w:rPr>
            </w:pPr>
            <w:r w:rsidRPr="009575EE">
              <w:rPr>
                <w:rFonts w:cstheme="minorHAnsi"/>
                <w:bCs/>
                <w:szCs w:val="20"/>
              </w:rPr>
              <w:t>Demand Saving was corrected by adding the coincidence demand factor</w:t>
            </w:r>
          </w:p>
          <w:p w14:paraId="4659C7DE" w14:textId="262BDA09" w:rsidR="00B57F32" w:rsidRPr="000E2B6B" w:rsidRDefault="002A3E21" w:rsidP="002A3E21">
            <w:pPr>
              <w:rPr>
                <w:rStyle w:val="Strong"/>
                <w:b w:val="0"/>
                <w:bCs w:val="0"/>
              </w:rPr>
            </w:pPr>
            <w:r w:rsidRPr="009575EE">
              <w:rPr>
                <w:rFonts w:cstheme="minorHAnsi"/>
                <w:bCs/>
                <w:szCs w:val="20"/>
              </w:rPr>
              <w:t>NTG was adjusted to support Deer08 update</w:t>
            </w:r>
          </w:p>
        </w:tc>
      </w:tr>
      <w:tr w:rsidR="00B57F32" w:rsidRPr="00500C4E" w14:paraId="4659C7E4" w14:textId="77777777" w:rsidTr="004A3B92">
        <w:trPr>
          <w:trHeight w:val="20"/>
        </w:trPr>
        <w:tc>
          <w:tcPr>
            <w:tcW w:w="256" w:type="pct"/>
            <w:vAlign w:val="center"/>
          </w:tcPr>
          <w:p w14:paraId="4659C7E0" w14:textId="15D4A846" w:rsidR="00B57F32" w:rsidRDefault="0085355C" w:rsidP="00CA1893">
            <w:pPr>
              <w:jc w:val="center"/>
              <w:rPr>
                <w:rFonts w:cstheme="minorHAnsi"/>
                <w:szCs w:val="20"/>
              </w:rPr>
            </w:pPr>
            <w:r>
              <w:rPr>
                <w:rFonts w:cstheme="minorHAnsi"/>
                <w:szCs w:val="20"/>
              </w:rPr>
              <w:t>2</w:t>
            </w:r>
          </w:p>
        </w:tc>
        <w:tc>
          <w:tcPr>
            <w:tcW w:w="599" w:type="pct"/>
            <w:vAlign w:val="center"/>
          </w:tcPr>
          <w:p w14:paraId="4659C7E1" w14:textId="22D21233" w:rsidR="00B57F32" w:rsidRDefault="00D01A6A" w:rsidP="00CA1893">
            <w:pPr>
              <w:jc w:val="center"/>
              <w:rPr>
                <w:rFonts w:cstheme="minorHAnsi"/>
                <w:szCs w:val="20"/>
              </w:rPr>
            </w:pPr>
            <w:r>
              <w:rPr>
                <w:rFonts w:cstheme="minorHAnsi"/>
                <w:szCs w:val="20"/>
              </w:rPr>
              <w:t>3/24/2014</w:t>
            </w:r>
          </w:p>
        </w:tc>
        <w:tc>
          <w:tcPr>
            <w:tcW w:w="1025" w:type="pct"/>
            <w:vAlign w:val="center"/>
          </w:tcPr>
          <w:p w14:paraId="4659C7E2" w14:textId="4846E75D" w:rsidR="00B57F32" w:rsidRDefault="002A3E21" w:rsidP="0085355C">
            <w:pPr>
              <w:jc w:val="center"/>
              <w:rPr>
                <w:rFonts w:cstheme="minorHAnsi"/>
                <w:szCs w:val="20"/>
              </w:rPr>
            </w:pPr>
            <w:r>
              <w:rPr>
                <w:rFonts w:cstheme="minorHAnsi"/>
                <w:szCs w:val="20"/>
              </w:rPr>
              <w:t>Judelson Enriquez/RMS</w:t>
            </w:r>
          </w:p>
        </w:tc>
        <w:tc>
          <w:tcPr>
            <w:tcW w:w="3120" w:type="pct"/>
          </w:tcPr>
          <w:p w14:paraId="4F070D4D" w14:textId="77777777" w:rsidR="002A3E21" w:rsidRDefault="002A3E21" w:rsidP="002A3E21">
            <w:pPr>
              <w:rPr>
                <w:rFonts w:cstheme="minorHAnsi"/>
                <w:bCs/>
                <w:szCs w:val="20"/>
              </w:rPr>
            </w:pPr>
            <w:r>
              <w:rPr>
                <w:rFonts w:cstheme="minorHAnsi"/>
                <w:bCs/>
                <w:szCs w:val="20"/>
              </w:rPr>
              <w:t>Original work paper template for 2013-2014 program cycle. Adopted from PGE Work paper PGECOLTG178 rev0</w:t>
            </w:r>
          </w:p>
          <w:p w14:paraId="5C9617DD" w14:textId="77777777" w:rsidR="002A3E21" w:rsidRPr="00EA6E90" w:rsidRDefault="002A3E21" w:rsidP="002A3E21">
            <w:pPr>
              <w:rPr>
                <w:bCs/>
                <w:szCs w:val="20"/>
              </w:rPr>
            </w:pPr>
            <w:r>
              <w:rPr>
                <w:rFonts w:cstheme="minorHAnsi"/>
                <w:bCs/>
                <w:szCs w:val="20"/>
              </w:rPr>
              <w:t xml:space="preserve">1. Created using updated format and </w:t>
            </w:r>
            <w:r w:rsidRPr="00EA6E90">
              <w:rPr>
                <w:bCs/>
                <w:szCs w:val="20"/>
              </w:rPr>
              <w:t>reference</w:t>
            </w:r>
            <w:r>
              <w:rPr>
                <w:bCs/>
                <w:szCs w:val="20"/>
              </w:rPr>
              <w:t>d</w:t>
            </w:r>
            <w:r w:rsidRPr="00EA6E90">
              <w:rPr>
                <w:bCs/>
                <w:szCs w:val="20"/>
              </w:rPr>
              <w:t xml:space="preserve"> workpaper WPSDGE</w:t>
            </w:r>
            <w:r>
              <w:rPr>
                <w:bCs/>
                <w:szCs w:val="20"/>
              </w:rPr>
              <w:t xml:space="preserve">NRLG0999 instead of attaching </w:t>
            </w:r>
            <w:r w:rsidRPr="00EA6E90">
              <w:rPr>
                <w:bCs/>
                <w:szCs w:val="20"/>
              </w:rPr>
              <w:t>calculation sheet.</w:t>
            </w:r>
          </w:p>
          <w:p w14:paraId="051E71C6" w14:textId="77777777" w:rsidR="002A3E21" w:rsidRDefault="002A3E21" w:rsidP="002A3E21">
            <w:pPr>
              <w:rPr>
                <w:bCs/>
                <w:szCs w:val="20"/>
              </w:rPr>
            </w:pPr>
            <w:r>
              <w:rPr>
                <w:bCs/>
                <w:szCs w:val="20"/>
              </w:rPr>
              <w:lastRenderedPageBreak/>
              <w:t xml:space="preserve">2. </w:t>
            </w:r>
            <w:r w:rsidRPr="00EA6E90">
              <w:rPr>
                <w:bCs/>
                <w:szCs w:val="20"/>
              </w:rPr>
              <w:t>Added Measures table</w:t>
            </w:r>
            <w:r>
              <w:rPr>
                <w:bCs/>
                <w:szCs w:val="20"/>
              </w:rPr>
              <w:t xml:space="preserve"> with product codes and measure requirements</w:t>
            </w:r>
            <w:r w:rsidRPr="00EA6E90">
              <w:rPr>
                <w:bCs/>
                <w:szCs w:val="20"/>
              </w:rPr>
              <w:t xml:space="preserve">, DEER Difference Summary table, Code Summary table, </w:t>
            </w:r>
            <w:r>
              <w:rPr>
                <w:bCs/>
                <w:szCs w:val="20"/>
              </w:rPr>
              <w:t xml:space="preserve">EUL ID table, NTG ID table, and GSIA ID table. </w:t>
            </w:r>
          </w:p>
          <w:p w14:paraId="7BFF6F66" w14:textId="77777777" w:rsidR="002A3E21" w:rsidRDefault="002A3E21" w:rsidP="002A3E21">
            <w:pPr>
              <w:rPr>
                <w:bCs/>
                <w:szCs w:val="20"/>
              </w:rPr>
            </w:pPr>
            <w:r>
              <w:rPr>
                <w:bCs/>
                <w:szCs w:val="20"/>
              </w:rPr>
              <w:t>3. Added Measure Wattage Summary table using values derived from PGE’s workpaper calculation file; utilized ED’s technology codes if values existed.</w:t>
            </w:r>
          </w:p>
          <w:p w14:paraId="11619E49" w14:textId="77777777" w:rsidR="002A3E21" w:rsidRPr="00EA6E90" w:rsidRDefault="002A3E21" w:rsidP="002A3E21">
            <w:pPr>
              <w:rPr>
                <w:bCs/>
                <w:szCs w:val="20"/>
              </w:rPr>
            </w:pPr>
            <w:r>
              <w:rPr>
                <w:bCs/>
                <w:szCs w:val="20"/>
              </w:rPr>
              <w:t xml:space="preserve">4. Added </w:t>
            </w:r>
            <w:r w:rsidRPr="00EA6E90">
              <w:rPr>
                <w:bCs/>
                <w:szCs w:val="20"/>
              </w:rPr>
              <w:t xml:space="preserve">Building Types and Load Shapes </w:t>
            </w:r>
            <w:r>
              <w:rPr>
                <w:bCs/>
                <w:szCs w:val="20"/>
              </w:rPr>
              <w:t>table to match PGE’s workpaper calculation file</w:t>
            </w:r>
            <w:r w:rsidRPr="00EA6E90">
              <w:rPr>
                <w:bCs/>
                <w:szCs w:val="20"/>
              </w:rPr>
              <w:t xml:space="preserve">. </w:t>
            </w:r>
          </w:p>
          <w:p w14:paraId="6901FE4E" w14:textId="77777777" w:rsidR="002A3E21" w:rsidRDefault="002A3E21" w:rsidP="002A3E21">
            <w:pPr>
              <w:rPr>
                <w:bCs/>
                <w:szCs w:val="20"/>
              </w:rPr>
            </w:pPr>
            <w:r>
              <w:rPr>
                <w:bCs/>
                <w:szCs w:val="20"/>
              </w:rPr>
              <w:t xml:space="preserve">5. Updated PGE’s cost sheet using SDG&amp;E’s DEER Material and Labor cost multipliers. </w:t>
            </w:r>
          </w:p>
          <w:p w14:paraId="4659C7E3" w14:textId="0C85E17D" w:rsidR="00B57F32" w:rsidRPr="00D15129" w:rsidRDefault="002A3E21" w:rsidP="002A3E21">
            <w:pPr>
              <w:rPr>
                <w:rFonts w:cstheme="minorHAnsi"/>
                <w:bCs/>
                <w:szCs w:val="20"/>
              </w:rPr>
            </w:pPr>
            <w:r>
              <w:rPr>
                <w:bCs/>
                <w:szCs w:val="20"/>
              </w:rPr>
              <w:t>6. Added Product Code for 59 W 2L Fluorescent to  2 x 2 22 W – 39 W LED fixture</w:t>
            </w:r>
          </w:p>
        </w:tc>
      </w:tr>
      <w:tr w:rsidR="00B57F32" w:rsidRPr="00500C4E" w14:paraId="4659C7E9" w14:textId="77777777" w:rsidTr="004A3B92">
        <w:trPr>
          <w:trHeight w:val="20"/>
        </w:trPr>
        <w:tc>
          <w:tcPr>
            <w:tcW w:w="256" w:type="pct"/>
          </w:tcPr>
          <w:p w14:paraId="4659C7E5" w14:textId="444C3C4B" w:rsidR="00B57F32" w:rsidRDefault="0085355C" w:rsidP="00CA1893">
            <w:pPr>
              <w:jc w:val="center"/>
              <w:rPr>
                <w:rFonts w:cstheme="minorHAnsi"/>
                <w:szCs w:val="20"/>
              </w:rPr>
            </w:pPr>
            <w:r>
              <w:rPr>
                <w:rFonts w:cstheme="minorHAnsi"/>
                <w:szCs w:val="20"/>
              </w:rPr>
              <w:lastRenderedPageBreak/>
              <w:t>3</w:t>
            </w:r>
          </w:p>
        </w:tc>
        <w:tc>
          <w:tcPr>
            <w:tcW w:w="599" w:type="pct"/>
          </w:tcPr>
          <w:p w14:paraId="4659C7E6" w14:textId="42707476" w:rsidR="00B57F32" w:rsidRDefault="00D01A6A" w:rsidP="00CA1893">
            <w:pPr>
              <w:jc w:val="center"/>
              <w:rPr>
                <w:rFonts w:cstheme="minorHAnsi"/>
                <w:szCs w:val="20"/>
              </w:rPr>
            </w:pPr>
            <w:r>
              <w:rPr>
                <w:rFonts w:cstheme="minorHAnsi"/>
                <w:szCs w:val="20"/>
              </w:rPr>
              <w:t>6/25/2014</w:t>
            </w:r>
          </w:p>
        </w:tc>
        <w:tc>
          <w:tcPr>
            <w:tcW w:w="1025" w:type="pct"/>
          </w:tcPr>
          <w:p w14:paraId="4659C7E7" w14:textId="62955DD4" w:rsidR="00B57F32" w:rsidRDefault="002A3E21" w:rsidP="00CA1893">
            <w:pPr>
              <w:rPr>
                <w:rFonts w:cstheme="minorHAnsi"/>
                <w:szCs w:val="20"/>
              </w:rPr>
            </w:pPr>
            <w:r>
              <w:rPr>
                <w:rFonts w:cstheme="minorHAnsi"/>
                <w:szCs w:val="20"/>
              </w:rPr>
              <w:t>Judelson Enriquez/RMS</w:t>
            </w:r>
          </w:p>
        </w:tc>
        <w:tc>
          <w:tcPr>
            <w:tcW w:w="3120" w:type="pct"/>
          </w:tcPr>
          <w:p w14:paraId="4659C7E8" w14:textId="44CA06D3" w:rsidR="00B57F32" w:rsidRPr="0085355C" w:rsidRDefault="002A3E21" w:rsidP="0085355C">
            <w:pPr>
              <w:rPr>
                <w:rFonts w:cstheme="minorHAnsi"/>
                <w:bCs/>
                <w:szCs w:val="20"/>
              </w:rPr>
            </w:pPr>
            <w:r w:rsidRPr="00E93CC2">
              <w:rPr>
                <w:bCs/>
                <w:szCs w:val="20"/>
              </w:rPr>
              <w:t>Incorporated measure wattages from May 30, 2014 lighting disposition, and updated to new DEER2014 IE/hours of operation methodology approach.</w:t>
            </w:r>
          </w:p>
        </w:tc>
      </w:tr>
      <w:tr w:rsidR="002A3E21" w:rsidRPr="00500C4E" w14:paraId="1436C517" w14:textId="77777777" w:rsidTr="004A3B92">
        <w:trPr>
          <w:trHeight w:val="20"/>
        </w:trPr>
        <w:tc>
          <w:tcPr>
            <w:tcW w:w="256" w:type="pct"/>
          </w:tcPr>
          <w:p w14:paraId="4B00F85C" w14:textId="598B960F" w:rsidR="002A3E21" w:rsidRDefault="002A3E21" w:rsidP="00CA1893">
            <w:pPr>
              <w:jc w:val="center"/>
              <w:rPr>
                <w:rFonts w:cstheme="minorHAnsi"/>
                <w:szCs w:val="20"/>
              </w:rPr>
            </w:pPr>
            <w:r>
              <w:rPr>
                <w:rFonts w:cstheme="minorHAnsi"/>
                <w:szCs w:val="20"/>
              </w:rPr>
              <w:t>3.1</w:t>
            </w:r>
          </w:p>
        </w:tc>
        <w:tc>
          <w:tcPr>
            <w:tcW w:w="599" w:type="pct"/>
          </w:tcPr>
          <w:p w14:paraId="7F44B8C9" w14:textId="25727F08" w:rsidR="002A3E21" w:rsidRDefault="00D01A6A" w:rsidP="00CA1893">
            <w:pPr>
              <w:jc w:val="center"/>
              <w:rPr>
                <w:rFonts w:cstheme="minorHAnsi"/>
                <w:szCs w:val="20"/>
              </w:rPr>
            </w:pPr>
            <w:r>
              <w:rPr>
                <w:rFonts w:cstheme="minorHAnsi"/>
                <w:szCs w:val="20"/>
              </w:rPr>
              <w:t>11/14/2014</w:t>
            </w:r>
          </w:p>
        </w:tc>
        <w:tc>
          <w:tcPr>
            <w:tcW w:w="1025" w:type="pct"/>
          </w:tcPr>
          <w:p w14:paraId="0A71EF48" w14:textId="416A6978" w:rsidR="002A3E21" w:rsidRDefault="002A3E21" w:rsidP="00CA1893">
            <w:pPr>
              <w:rPr>
                <w:rFonts w:cstheme="minorHAnsi"/>
                <w:szCs w:val="20"/>
              </w:rPr>
            </w:pPr>
            <w:r>
              <w:rPr>
                <w:bCs/>
                <w:szCs w:val="20"/>
              </w:rPr>
              <w:t>Charles Harmstead/SDGE</w:t>
            </w:r>
          </w:p>
        </w:tc>
        <w:tc>
          <w:tcPr>
            <w:tcW w:w="3120" w:type="pct"/>
          </w:tcPr>
          <w:p w14:paraId="4FF56529" w14:textId="1801BF80" w:rsidR="002A3E21" w:rsidRPr="0085355C" w:rsidRDefault="002A3E21" w:rsidP="0085355C">
            <w:pPr>
              <w:rPr>
                <w:rFonts w:cstheme="minorHAnsi"/>
                <w:bCs/>
                <w:szCs w:val="20"/>
              </w:rPr>
            </w:pPr>
            <w:r>
              <w:rPr>
                <w:bCs/>
                <w:szCs w:val="20"/>
              </w:rPr>
              <w:t xml:space="preserve">Updated </w:t>
            </w:r>
            <w:r w:rsidRPr="00AC64E0">
              <w:rPr>
                <w:rFonts w:ascii="Calibri" w:hAnsi="Calibri"/>
                <w:szCs w:val="20"/>
              </w:rPr>
              <w:t>High-bay and low-bay cost sheet</w:t>
            </w:r>
            <w:r>
              <w:rPr>
                <w:bCs/>
                <w:szCs w:val="20"/>
              </w:rPr>
              <w:t xml:space="preserve"> for Product codes LM-11 and LM-21</w:t>
            </w:r>
          </w:p>
        </w:tc>
      </w:tr>
      <w:tr w:rsidR="002A3E21" w:rsidRPr="00500C4E" w14:paraId="72599DCD" w14:textId="77777777" w:rsidTr="004A3B92">
        <w:trPr>
          <w:trHeight w:val="20"/>
        </w:trPr>
        <w:tc>
          <w:tcPr>
            <w:tcW w:w="256" w:type="pct"/>
          </w:tcPr>
          <w:p w14:paraId="1F4FA7AB" w14:textId="76AC95B5" w:rsidR="002A3E21" w:rsidRDefault="00225471" w:rsidP="00CA1893">
            <w:pPr>
              <w:jc w:val="center"/>
              <w:rPr>
                <w:rFonts w:cstheme="minorHAnsi"/>
                <w:szCs w:val="20"/>
              </w:rPr>
            </w:pPr>
            <w:r>
              <w:rPr>
                <w:rFonts w:cstheme="minorHAnsi"/>
                <w:szCs w:val="20"/>
              </w:rPr>
              <w:t>4</w:t>
            </w:r>
          </w:p>
        </w:tc>
        <w:tc>
          <w:tcPr>
            <w:tcW w:w="599" w:type="pct"/>
          </w:tcPr>
          <w:p w14:paraId="4DDFFF0C" w14:textId="1716E394" w:rsidR="002A3E21" w:rsidRDefault="00225471" w:rsidP="00CA1893">
            <w:pPr>
              <w:jc w:val="center"/>
              <w:rPr>
                <w:rFonts w:cstheme="minorHAnsi"/>
                <w:szCs w:val="20"/>
              </w:rPr>
            </w:pPr>
            <w:r>
              <w:rPr>
                <w:rFonts w:cstheme="minorHAnsi"/>
                <w:szCs w:val="20"/>
              </w:rPr>
              <w:t>6/1/2018</w:t>
            </w:r>
          </w:p>
        </w:tc>
        <w:tc>
          <w:tcPr>
            <w:tcW w:w="1025" w:type="pct"/>
          </w:tcPr>
          <w:p w14:paraId="2548447B" w14:textId="6BD2E0CE" w:rsidR="002A3E21" w:rsidRDefault="002A3E21" w:rsidP="00CA1893">
            <w:pPr>
              <w:rPr>
                <w:rFonts w:cstheme="minorHAnsi"/>
                <w:szCs w:val="20"/>
              </w:rPr>
            </w:pPr>
            <w:r>
              <w:rPr>
                <w:rFonts w:cstheme="minorHAnsi"/>
                <w:szCs w:val="20"/>
              </w:rPr>
              <w:t>Eduardo Reynoso/ SDGE</w:t>
            </w:r>
          </w:p>
        </w:tc>
        <w:tc>
          <w:tcPr>
            <w:tcW w:w="3120" w:type="pct"/>
          </w:tcPr>
          <w:p w14:paraId="25C9FADA" w14:textId="6EAF7774" w:rsidR="00992F0C" w:rsidRDefault="00992F0C" w:rsidP="00D01A6A">
            <w:pPr>
              <w:pStyle w:val="ListParagraph"/>
              <w:numPr>
                <w:ilvl w:val="0"/>
                <w:numId w:val="15"/>
              </w:numPr>
              <w:rPr>
                <w:rFonts w:cstheme="minorHAnsi"/>
                <w:bCs/>
                <w:szCs w:val="20"/>
              </w:rPr>
            </w:pPr>
            <w:r>
              <w:rPr>
                <w:rFonts w:cstheme="minorHAnsi"/>
                <w:bCs/>
                <w:szCs w:val="20"/>
              </w:rPr>
              <w:t>Adopted Short Form workpaper template for adopting DEER database data values for pure PEAR measures, impacts and cost.</w:t>
            </w:r>
          </w:p>
          <w:p w14:paraId="6D02110D" w14:textId="0ADB9AB0" w:rsidR="00D01A6A" w:rsidRDefault="002A3E21" w:rsidP="00D01A6A">
            <w:pPr>
              <w:pStyle w:val="ListParagraph"/>
              <w:numPr>
                <w:ilvl w:val="0"/>
                <w:numId w:val="15"/>
              </w:numPr>
              <w:rPr>
                <w:rFonts w:cstheme="minorHAnsi"/>
                <w:bCs/>
                <w:szCs w:val="20"/>
              </w:rPr>
            </w:pPr>
            <w:r w:rsidRPr="00D01A6A">
              <w:rPr>
                <w:rFonts w:cstheme="minorHAnsi"/>
                <w:bCs/>
                <w:szCs w:val="20"/>
              </w:rPr>
              <w:t xml:space="preserve">Updated </w:t>
            </w:r>
            <w:r w:rsidR="00DC48D7">
              <w:rPr>
                <w:rFonts w:cstheme="minorHAnsi"/>
                <w:bCs/>
                <w:szCs w:val="20"/>
              </w:rPr>
              <w:t xml:space="preserve">LED </w:t>
            </w:r>
            <w:r w:rsidRPr="00D01A6A">
              <w:rPr>
                <w:rFonts w:cstheme="minorHAnsi"/>
                <w:bCs/>
                <w:szCs w:val="20"/>
              </w:rPr>
              <w:t>lighting fixtures require</w:t>
            </w:r>
            <w:r w:rsidR="00E96D90" w:rsidRPr="00D01A6A">
              <w:rPr>
                <w:rFonts w:cstheme="minorHAnsi"/>
                <w:bCs/>
                <w:szCs w:val="20"/>
              </w:rPr>
              <w:t>ments</w:t>
            </w:r>
            <w:r w:rsidRPr="00D01A6A">
              <w:rPr>
                <w:rFonts w:cstheme="minorHAnsi"/>
                <w:bCs/>
                <w:szCs w:val="20"/>
              </w:rPr>
              <w:t xml:space="preserve"> to </w:t>
            </w:r>
            <w:r w:rsidR="00D01A6A">
              <w:rPr>
                <w:rFonts w:cstheme="minorHAnsi"/>
                <w:bCs/>
                <w:szCs w:val="20"/>
              </w:rPr>
              <w:t>align with PGE workpaper (PGECOLGT178 Rev</w:t>
            </w:r>
            <w:r w:rsidR="00DC48D7">
              <w:rPr>
                <w:rFonts w:cstheme="minorHAnsi"/>
                <w:bCs/>
                <w:szCs w:val="20"/>
              </w:rPr>
              <w:t>ision 3, LED High-Bay and Low-Bay Fixtures)</w:t>
            </w:r>
            <w:r w:rsidR="00D01A6A">
              <w:rPr>
                <w:rFonts w:cstheme="minorHAnsi"/>
                <w:bCs/>
                <w:szCs w:val="20"/>
              </w:rPr>
              <w:t xml:space="preserve"> interim solution for High-Bay /Low Bay</w:t>
            </w:r>
            <w:r w:rsidRPr="00D01A6A">
              <w:rPr>
                <w:rFonts w:cstheme="minorHAnsi"/>
                <w:bCs/>
                <w:szCs w:val="20"/>
              </w:rPr>
              <w:t xml:space="preserve">. </w:t>
            </w:r>
          </w:p>
          <w:p w14:paraId="6077E358" w14:textId="27DC83B3" w:rsidR="002A3E21" w:rsidRPr="00D01A6A" w:rsidRDefault="00DC48D7" w:rsidP="00D01A6A">
            <w:pPr>
              <w:pStyle w:val="ListParagraph"/>
              <w:numPr>
                <w:ilvl w:val="0"/>
                <w:numId w:val="15"/>
              </w:numPr>
              <w:rPr>
                <w:rFonts w:cstheme="minorHAnsi"/>
                <w:bCs/>
                <w:szCs w:val="20"/>
              </w:rPr>
            </w:pPr>
            <w:r>
              <w:rPr>
                <w:rFonts w:cstheme="minorHAnsi"/>
                <w:bCs/>
                <w:szCs w:val="20"/>
              </w:rPr>
              <w:t xml:space="preserve">Updated SDG&amp;E’s </w:t>
            </w:r>
            <w:r w:rsidR="00D01A6A">
              <w:rPr>
                <w:rFonts w:cstheme="minorHAnsi"/>
                <w:bCs/>
                <w:szCs w:val="20"/>
              </w:rPr>
              <w:t>Implementation</w:t>
            </w:r>
            <w:r>
              <w:rPr>
                <w:rFonts w:cstheme="minorHAnsi"/>
                <w:bCs/>
                <w:szCs w:val="20"/>
              </w:rPr>
              <w:t>s</w:t>
            </w:r>
            <w:r w:rsidR="00D01A6A">
              <w:rPr>
                <w:rFonts w:cstheme="minorHAnsi"/>
                <w:bCs/>
                <w:szCs w:val="20"/>
              </w:rPr>
              <w:t xml:space="preserve"> based on the CPUC Energy Division Disposition for High-Bay </w:t>
            </w:r>
            <w:r>
              <w:rPr>
                <w:rFonts w:cstheme="minorHAnsi"/>
                <w:bCs/>
                <w:szCs w:val="20"/>
              </w:rPr>
              <w:t>and Low-Bay i</w:t>
            </w:r>
            <w:r w:rsidR="00D01A6A">
              <w:rPr>
                <w:rFonts w:cstheme="minorHAnsi"/>
                <w:bCs/>
                <w:szCs w:val="20"/>
              </w:rPr>
              <w:t xml:space="preserve">nterim approval. </w:t>
            </w:r>
            <w:r>
              <w:rPr>
                <w:rFonts w:cstheme="minorHAnsi"/>
                <w:bCs/>
                <w:szCs w:val="20"/>
              </w:rPr>
              <w:t xml:space="preserve">Adopted DEEER PEAR database Measures IDs and Cost IDs. </w:t>
            </w:r>
            <w:r w:rsidR="000F1EFD" w:rsidRPr="00D01A6A">
              <w:rPr>
                <w:rFonts w:cstheme="minorHAnsi"/>
                <w:szCs w:val="20"/>
              </w:rPr>
              <w:t xml:space="preserve"> </w:t>
            </w:r>
          </w:p>
        </w:tc>
      </w:tr>
    </w:tbl>
    <w:p w14:paraId="4F846170" w14:textId="77777777" w:rsidR="008A7718" w:rsidRDefault="008A7718" w:rsidP="008A7718">
      <w:pPr>
        <w:rPr>
          <w:rFonts w:ascii="Arial" w:hAnsi="Arial" w:cs="Arial"/>
          <w:b/>
          <w:i/>
        </w:rPr>
      </w:pPr>
      <w:r w:rsidRPr="00521920">
        <w:rPr>
          <w:rFonts w:ascii="Arial" w:hAnsi="Arial" w:cs="Arial"/>
          <w:b/>
          <w:i/>
        </w:rPr>
        <w:t>Catalog Description</w:t>
      </w:r>
      <w:r>
        <w:rPr>
          <w:rFonts w:ascii="Arial" w:hAnsi="Arial" w:cs="Arial"/>
          <w:b/>
          <w:i/>
        </w:rPr>
        <w:t xml:space="preserve"> </w:t>
      </w:r>
    </w:p>
    <w:p w14:paraId="249AD6C3" w14:textId="77777777" w:rsidR="008A7718" w:rsidRPr="0072141D" w:rsidRDefault="008A7718" w:rsidP="008A7718">
      <w:pPr>
        <w:rPr>
          <w:rFonts w:ascii="Arial" w:hAnsi="Arial" w:cs="Arial"/>
          <w:b/>
          <w:i/>
          <w:sz w:val="20"/>
        </w:rPr>
      </w:pPr>
      <w:r w:rsidRPr="0008537D">
        <w:rPr>
          <w:rFonts w:ascii="Arial" w:hAnsi="Arial" w:cs="Arial"/>
          <w:sz w:val="20"/>
        </w:rPr>
        <w:t xml:space="preserve">Light Emitting Diode (LED) </w:t>
      </w:r>
      <w:r>
        <w:rPr>
          <w:rFonts w:ascii="Arial" w:hAnsi="Arial" w:cs="Arial"/>
          <w:sz w:val="20"/>
        </w:rPr>
        <w:t>High-Bay and Low-bay Lighting</w:t>
      </w:r>
    </w:p>
    <w:p w14:paraId="6CFF53A9" w14:textId="77777777" w:rsidR="008A7718" w:rsidRDefault="008A7718" w:rsidP="008A7718">
      <w:pPr>
        <w:widowControl w:val="0"/>
        <w:autoSpaceDE w:val="0"/>
        <w:autoSpaceDN w:val="0"/>
        <w:adjustRightInd w:val="0"/>
        <w:spacing w:line="360" w:lineRule="auto"/>
        <w:rPr>
          <w:rFonts w:ascii="Arial" w:hAnsi="Arial"/>
          <w:b/>
          <w:color w:val="000000" w:themeColor="text1"/>
        </w:rPr>
      </w:pPr>
    </w:p>
    <w:p w14:paraId="1A396984" w14:textId="77777777" w:rsidR="008A7718" w:rsidRPr="00CC3ABC" w:rsidRDefault="008A7718" w:rsidP="008A7718">
      <w:pPr>
        <w:widowControl w:val="0"/>
        <w:autoSpaceDE w:val="0"/>
        <w:autoSpaceDN w:val="0"/>
        <w:adjustRightInd w:val="0"/>
        <w:spacing w:line="360" w:lineRule="auto"/>
        <w:rPr>
          <w:rFonts w:ascii="Arial" w:hAnsi="Arial" w:cs="Arial"/>
          <w:b/>
          <w:color w:val="000000"/>
        </w:rPr>
      </w:pPr>
      <w:r w:rsidRPr="1AA8F051">
        <w:rPr>
          <w:rFonts w:ascii="Arial" w:hAnsi="Arial"/>
          <w:b/>
          <w:color w:val="000000" w:themeColor="text1"/>
        </w:rPr>
        <w:t>Requirements:</w:t>
      </w:r>
    </w:p>
    <w:p w14:paraId="1AEC54CE" w14:textId="3B7859CF" w:rsidR="0091074F" w:rsidRPr="0091074F" w:rsidRDefault="0091074F" w:rsidP="0091074F">
      <w:pPr>
        <w:widowControl w:val="0"/>
        <w:numPr>
          <w:ilvl w:val="0"/>
          <w:numId w:val="16"/>
        </w:numPr>
        <w:autoSpaceDE w:val="0"/>
        <w:autoSpaceDN w:val="0"/>
        <w:adjustRightInd w:val="0"/>
        <w:spacing w:line="360" w:lineRule="auto"/>
        <w:rPr>
          <w:rFonts w:ascii="Arial" w:hAnsi="Arial" w:cs="Arial"/>
          <w:color w:val="000000"/>
          <w:sz w:val="20"/>
        </w:rPr>
      </w:pPr>
      <w:r w:rsidRPr="1AA8F051">
        <w:rPr>
          <w:rFonts w:ascii="Arial" w:hAnsi="Arial"/>
          <w:color w:val="000000" w:themeColor="text1"/>
          <w:sz w:val="20"/>
        </w:rPr>
        <w:t>Must replace a lumen equivalent lamp/fixture of higher wattage. (Please refer to Table 1)</w:t>
      </w:r>
      <w:r w:rsidRPr="0091074F">
        <w:rPr>
          <w:rFonts w:ascii="Arial" w:hAnsi="Arial" w:cs="Arial"/>
          <w:color w:val="000000"/>
          <w:sz w:val="20"/>
        </w:rPr>
        <w:t>Must be on the DesignLights Consortium (DLC) qualified product list (QPL)</w:t>
      </w:r>
      <w:r w:rsidRPr="00E351DE">
        <w:rPr>
          <w:rStyle w:val="FootnoteReference"/>
          <w:rFonts w:ascii="Arial" w:hAnsi="Arial" w:cs="Arial"/>
          <w:color w:val="000000"/>
          <w:sz w:val="20"/>
        </w:rPr>
        <w:footnoteReference w:id="1"/>
      </w:r>
    </w:p>
    <w:p w14:paraId="777E243F" w14:textId="77777777" w:rsidR="008A7718" w:rsidRPr="00E351DE" w:rsidRDefault="008A7718" w:rsidP="008A7718">
      <w:pPr>
        <w:widowControl w:val="0"/>
        <w:numPr>
          <w:ilvl w:val="0"/>
          <w:numId w:val="16"/>
        </w:numPr>
        <w:autoSpaceDE w:val="0"/>
        <w:autoSpaceDN w:val="0"/>
        <w:adjustRightInd w:val="0"/>
        <w:spacing w:line="360" w:lineRule="auto"/>
        <w:rPr>
          <w:rFonts w:ascii="Arial" w:hAnsi="Arial" w:cs="Arial"/>
          <w:color w:val="000000"/>
          <w:sz w:val="20"/>
        </w:rPr>
      </w:pPr>
      <w:r w:rsidRPr="1AA8F051">
        <w:rPr>
          <w:rFonts w:ascii="Arial" w:hAnsi="Arial"/>
          <w:color w:val="000000" w:themeColor="text1"/>
          <w:sz w:val="20"/>
        </w:rPr>
        <w:t>Fixtures listed under specialty categories on the DLC QPL do not qualify for the deemed rebate.</w:t>
      </w:r>
    </w:p>
    <w:p w14:paraId="3D4174AE" w14:textId="77777777" w:rsidR="008A7718" w:rsidRPr="0066185B" w:rsidRDefault="008A7718" w:rsidP="008A7718">
      <w:pPr>
        <w:widowControl w:val="0"/>
        <w:numPr>
          <w:ilvl w:val="0"/>
          <w:numId w:val="16"/>
        </w:numPr>
        <w:autoSpaceDE w:val="0"/>
        <w:autoSpaceDN w:val="0"/>
        <w:adjustRightInd w:val="0"/>
        <w:spacing w:line="360" w:lineRule="auto"/>
        <w:rPr>
          <w:rFonts w:ascii="Arial" w:hAnsi="Arial" w:cs="Arial"/>
          <w:color w:val="000000"/>
          <w:sz w:val="20"/>
        </w:rPr>
      </w:pPr>
      <w:r>
        <w:rPr>
          <w:rFonts w:ascii="Arial" w:hAnsi="Arial" w:cs="Arial"/>
          <w:sz w:val="20"/>
          <w:szCs w:val="20"/>
        </w:rPr>
        <w:t>Horticultural installations do not qualify for this rebate.</w:t>
      </w:r>
    </w:p>
    <w:p w14:paraId="1326115A" w14:textId="77777777" w:rsidR="008A7718" w:rsidRPr="0066185B" w:rsidRDefault="008A7718" w:rsidP="008A7718">
      <w:pPr>
        <w:widowControl w:val="0"/>
        <w:numPr>
          <w:ilvl w:val="0"/>
          <w:numId w:val="16"/>
        </w:numPr>
        <w:autoSpaceDE w:val="0"/>
        <w:autoSpaceDN w:val="0"/>
        <w:adjustRightInd w:val="0"/>
        <w:spacing w:line="360" w:lineRule="auto"/>
        <w:rPr>
          <w:rFonts w:ascii="Arial" w:hAnsi="Arial" w:cs="Arial"/>
          <w:color w:val="000000"/>
          <w:sz w:val="20"/>
        </w:rPr>
      </w:pPr>
      <w:r>
        <w:rPr>
          <w:rFonts w:ascii="Arial" w:hAnsi="Arial" w:cs="Arial"/>
          <w:sz w:val="20"/>
          <w:szCs w:val="20"/>
        </w:rPr>
        <w:t>Exterior installations do not qualify for this rebate.</w:t>
      </w:r>
    </w:p>
    <w:p w14:paraId="367470E1" w14:textId="77777777" w:rsidR="008A7718" w:rsidRPr="00E351DE" w:rsidRDefault="008A7718" w:rsidP="008A7718">
      <w:pPr>
        <w:widowControl w:val="0"/>
        <w:numPr>
          <w:ilvl w:val="0"/>
          <w:numId w:val="16"/>
        </w:numPr>
        <w:autoSpaceDE w:val="0"/>
        <w:autoSpaceDN w:val="0"/>
        <w:adjustRightInd w:val="0"/>
        <w:spacing w:line="360" w:lineRule="auto"/>
        <w:rPr>
          <w:rFonts w:ascii="Arial" w:hAnsi="Arial" w:cs="Arial"/>
          <w:color w:val="000000"/>
          <w:sz w:val="20"/>
        </w:rPr>
      </w:pPr>
      <w:r w:rsidRPr="00E351DE">
        <w:rPr>
          <w:rFonts w:ascii="Arial" w:hAnsi="Arial" w:cs="Arial"/>
          <w:sz w:val="20"/>
          <w:szCs w:val="20"/>
        </w:rPr>
        <w:t>Self-ballasted screw-based lamps do not qualify.</w:t>
      </w:r>
      <w:r w:rsidRPr="1AA8F051">
        <w:rPr>
          <w:rFonts w:ascii="Arial" w:hAnsi="Arial"/>
          <w:color w:val="000000" w:themeColor="text1"/>
          <w:sz w:val="20"/>
        </w:rPr>
        <w:t xml:space="preserve"> </w:t>
      </w:r>
    </w:p>
    <w:p w14:paraId="2C1B30A5" w14:textId="77777777" w:rsidR="008A7718" w:rsidRPr="00CC3ABC" w:rsidRDefault="008A7718" w:rsidP="008A7718">
      <w:pPr>
        <w:widowControl w:val="0"/>
        <w:numPr>
          <w:ilvl w:val="0"/>
          <w:numId w:val="16"/>
        </w:numPr>
        <w:autoSpaceDE w:val="0"/>
        <w:autoSpaceDN w:val="0"/>
        <w:adjustRightInd w:val="0"/>
        <w:spacing w:line="360" w:lineRule="auto"/>
        <w:rPr>
          <w:rFonts w:ascii="Arial" w:hAnsi="Arial" w:cs="Arial"/>
          <w:color w:val="000000"/>
          <w:sz w:val="20"/>
        </w:rPr>
      </w:pPr>
      <w:r w:rsidRPr="1AA8F051">
        <w:rPr>
          <w:rFonts w:ascii="Arial" w:hAnsi="Arial"/>
          <w:color w:val="000000" w:themeColor="text1"/>
          <w:sz w:val="20"/>
        </w:rPr>
        <w:t>Must meet the minimum efficacy and wattage range listed for the appropriate measure codes in Table 1.</w:t>
      </w:r>
    </w:p>
    <w:p w14:paraId="4512025E" w14:textId="4CCE75CC" w:rsidR="008A7718" w:rsidRDefault="008A7718" w:rsidP="00413EF4"/>
    <w:p w14:paraId="00192340" w14:textId="77777777" w:rsidR="008A7718" w:rsidRPr="00437479" w:rsidRDefault="008A7718" w:rsidP="008A7718">
      <w:pPr>
        <w:pStyle w:val="Caption"/>
        <w:ind w:left="288"/>
        <w:jc w:val="center"/>
      </w:pPr>
      <w:bookmarkStart w:id="2" w:name="_Toc511038005"/>
      <w:bookmarkStart w:id="3" w:name="_Toc511244266"/>
      <w:bookmarkStart w:id="4" w:name="_Toc511244291"/>
      <w:bookmarkStart w:id="5" w:name="_Toc511244910"/>
      <w:r w:rsidRPr="00437479">
        <w:t xml:space="preserve">Table </w:t>
      </w:r>
      <w:fldSimple w:instr=" SEQ Table \* ARABIC ">
        <w:r>
          <w:rPr>
            <w:noProof/>
          </w:rPr>
          <w:t>1</w:t>
        </w:r>
      </w:fldSimple>
      <w:r w:rsidRPr="00437479">
        <w:t xml:space="preserve"> - LED High-Bay and Low-Bay Fixtures Base and Measure Wattages</w:t>
      </w:r>
      <w:bookmarkEnd w:id="2"/>
      <w:bookmarkEnd w:id="3"/>
      <w:bookmarkEnd w:id="4"/>
      <w:bookmarkEnd w:id="5"/>
    </w:p>
    <w:tbl>
      <w:tblPr>
        <w:tblW w:w="48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5"/>
        <w:gridCol w:w="1006"/>
        <w:gridCol w:w="1225"/>
        <w:gridCol w:w="5759"/>
      </w:tblGrid>
      <w:tr w:rsidR="008A7718" w:rsidRPr="002B40BA" w14:paraId="2835EF1D" w14:textId="77777777" w:rsidTr="00B62AFB">
        <w:trPr>
          <w:trHeight w:val="337"/>
          <w:jc w:val="center"/>
        </w:trPr>
        <w:tc>
          <w:tcPr>
            <w:tcW w:w="1799" w:type="pct"/>
            <w:gridSpan w:val="3"/>
            <w:shd w:val="clear" w:color="auto" w:fill="auto"/>
            <w:vAlign w:val="center"/>
            <w:hideMark/>
          </w:tcPr>
          <w:p w14:paraId="5F6A0206" w14:textId="77777777" w:rsidR="008A7718" w:rsidRPr="007E3EDF" w:rsidRDefault="008A7718" w:rsidP="007F50D8">
            <w:pPr>
              <w:jc w:val="center"/>
              <w:rPr>
                <w:rFonts w:ascii="Arial" w:hAnsi="Arial"/>
                <w:b/>
                <w:color w:val="000000"/>
                <w:sz w:val="20"/>
              </w:rPr>
            </w:pPr>
            <w:r w:rsidRPr="1AA8F051">
              <w:rPr>
                <w:rFonts w:ascii="Arial" w:hAnsi="Arial"/>
                <w:b/>
                <w:color w:val="000000" w:themeColor="text1"/>
                <w:sz w:val="20"/>
              </w:rPr>
              <w:t>Measure Codes</w:t>
            </w:r>
          </w:p>
        </w:tc>
        <w:tc>
          <w:tcPr>
            <w:tcW w:w="3201" w:type="pct"/>
            <w:shd w:val="clear" w:color="auto" w:fill="auto"/>
            <w:vAlign w:val="center"/>
            <w:hideMark/>
          </w:tcPr>
          <w:p w14:paraId="00DC8DBB" w14:textId="77777777" w:rsidR="008A7718" w:rsidRPr="007E3EDF" w:rsidRDefault="008A7718" w:rsidP="007F50D8">
            <w:pPr>
              <w:jc w:val="center"/>
              <w:rPr>
                <w:rFonts w:ascii="Arial" w:hAnsi="Arial"/>
                <w:b/>
                <w:color w:val="000000"/>
                <w:sz w:val="20"/>
              </w:rPr>
            </w:pPr>
            <w:r w:rsidRPr="1AA8F051">
              <w:rPr>
                <w:rFonts w:ascii="Arial" w:hAnsi="Arial"/>
                <w:b/>
                <w:color w:val="000000" w:themeColor="text1"/>
                <w:sz w:val="20"/>
              </w:rPr>
              <w:t>Measure Description*</w:t>
            </w:r>
          </w:p>
        </w:tc>
      </w:tr>
      <w:tr w:rsidR="008A7718" w:rsidRPr="002B40BA" w14:paraId="2182487A" w14:textId="77777777" w:rsidTr="00B62AFB">
        <w:trPr>
          <w:trHeight w:val="337"/>
          <w:jc w:val="center"/>
        </w:trPr>
        <w:tc>
          <w:tcPr>
            <w:tcW w:w="559" w:type="pct"/>
            <w:shd w:val="clear" w:color="auto" w:fill="auto"/>
            <w:noWrap/>
            <w:vAlign w:val="center"/>
          </w:tcPr>
          <w:p w14:paraId="3822FD82" w14:textId="77777777" w:rsidR="008A7718" w:rsidRPr="007E3EDF" w:rsidRDefault="008A7718" w:rsidP="007F50D8">
            <w:pPr>
              <w:autoSpaceDE w:val="0"/>
              <w:autoSpaceDN w:val="0"/>
              <w:jc w:val="center"/>
              <w:rPr>
                <w:rFonts w:ascii="Arial" w:hAnsi="Arial"/>
                <w:color w:val="000000"/>
                <w:sz w:val="20"/>
              </w:rPr>
            </w:pPr>
            <w:r w:rsidRPr="1AA8F051">
              <w:rPr>
                <w:rFonts w:ascii="Arial" w:hAnsi="Arial"/>
                <w:b/>
                <w:color w:val="000000" w:themeColor="text1"/>
                <w:sz w:val="20"/>
              </w:rPr>
              <w:t>PG&amp;E</w:t>
            </w:r>
          </w:p>
        </w:tc>
        <w:tc>
          <w:tcPr>
            <w:tcW w:w="559" w:type="pct"/>
            <w:vAlign w:val="center"/>
          </w:tcPr>
          <w:p w14:paraId="31643EA1" w14:textId="77777777" w:rsidR="008A7718" w:rsidRPr="007E3EDF" w:rsidRDefault="008A7718" w:rsidP="007F50D8">
            <w:pPr>
              <w:jc w:val="center"/>
              <w:rPr>
                <w:rFonts w:ascii="Arial" w:hAnsi="Arial"/>
                <w:color w:val="000000"/>
                <w:sz w:val="20"/>
              </w:rPr>
            </w:pPr>
            <w:r w:rsidRPr="1AA8F051">
              <w:rPr>
                <w:rFonts w:ascii="Arial" w:hAnsi="Arial"/>
                <w:b/>
                <w:color w:val="000000" w:themeColor="text1"/>
                <w:sz w:val="20"/>
              </w:rPr>
              <w:t>SCE</w:t>
            </w:r>
          </w:p>
        </w:tc>
        <w:tc>
          <w:tcPr>
            <w:tcW w:w="680" w:type="pct"/>
            <w:vAlign w:val="center"/>
          </w:tcPr>
          <w:p w14:paraId="6DC372EA" w14:textId="77777777" w:rsidR="008A7718" w:rsidRPr="007E3EDF" w:rsidRDefault="008A7718" w:rsidP="007F50D8">
            <w:pPr>
              <w:jc w:val="center"/>
              <w:rPr>
                <w:rFonts w:ascii="Arial" w:hAnsi="Arial"/>
                <w:color w:val="000000"/>
                <w:sz w:val="20"/>
              </w:rPr>
            </w:pPr>
            <w:r w:rsidRPr="1AA8F051">
              <w:rPr>
                <w:rFonts w:ascii="Arial" w:hAnsi="Arial"/>
                <w:b/>
                <w:color w:val="000000" w:themeColor="text1"/>
                <w:sz w:val="20"/>
              </w:rPr>
              <w:t>SDG&amp;E</w:t>
            </w:r>
          </w:p>
        </w:tc>
        <w:tc>
          <w:tcPr>
            <w:tcW w:w="3201" w:type="pct"/>
            <w:shd w:val="clear" w:color="auto" w:fill="auto"/>
            <w:noWrap/>
            <w:vAlign w:val="center"/>
          </w:tcPr>
          <w:p w14:paraId="7E1C5F55" w14:textId="77777777" w:rsidR="008A7718" w:rsidRPr="007E3EDF" w:rsidRDefault="008A7718" w:rsidP="007F50D8">
            <w:pPr>
              <w:jc w:val="center"/>
              <w:rPr>
                <w:rFonts w:ascii="Arial" w:hAnsi="Arial"/>
                <w:color w:val="000000"/>
                <w:sz w:val="20"/>
              </w:rPr>
            </w:pPr>
          </w:p>
        </w:tc>
      </w:tr>
      <w:tr w:rsidR="008A7718" w:rsidRPr="002B40BA" w14:paraId="20A4D157" w14:textId="77777777" w:rsidTr="00B62AFB">
        <w:trPr>
          <w:trHeight w:val="337"/>
          <w:jc w:val="center"/>
        </w:trPr>
        <w:tc>
          <w:tcPr>
            <w:tcW w:w="559" w:type="pct"/>
            <w:shd w:val="clear" w:color="auto" w:fill="auto"/>
            <w:noWrap/>
            <w:vAlign w:val="bottom"/>
          </w:tcPr>
          <w:p w14:paraId="1E2328E5" w14:textId="77777777" w:rsidR="008A7718" w:rsidRPr="007E3EDF" w:rsidRDefault="008A7718" w:rsidP="007F50D8">
            <w:pPr>
              <w:autoSpaceDE w:val="0"/>
              <w:autoSpaceDN w:val="0"/>
              <w:jc w:val="center"/>
              <w:rPr>
                <w:rFonts w:ascii="Arial" w:hAnsi="Arial"/>
                <w:color w:val="000000"/>
                <w:sz w:val="20"/>
              </w:rPr>
            </w:pPr>
            <w:r>
              <w:rPr>
                <w:rFonts w:ascii="Calibri" w:hAnsi="Calibri"/>
                <w:color w:val="000000"/>
                <w:szCs w:val="22"/>
              </w:rPr>
              <w:t>LT376</w:t>
            </w:r>
          </w:p>
        </w:tc>
        <w:tc>
          <w:tcPr>
            <w:tcW w:w="559" w:type="pct"/>
            <w:vAlign w:val="center"/>
          </w:tcPr>
          <w:p w14:paraId="45E491FD" w14:textId="77777777" w:rsidR="008A7718" w:rsidRPr="007E3EDF" w:rsidRDefault="008A7718" w:rsidP="007F50D8">
            <w:pPr>
              <w:jc w:val="center"/>
              <w:rPr>
                <w:rFonts w:ascii="Arial" w:hAnsi="Arial"/>
                <w:color w:val="000000"/>
                <w:sz w:val="20"/>
              </w:rPr>
            </w:pPr>
          </w:p>
        </w:tc>
        <w:tc>
          <w:tcPr>
            <w:tcW w:w="680" w:type="pct"/>
            <w:vAlign w:val="center"/>
          </w:tcPr>
          <w:p w14:paraId="6CC1649C" w14:textId="5543C73B" w:rsidR="008A7718" w:rsidRPr="007E3EDF" w:rsidRDefault="008A7718" w:rsidP="007F50D8">
            <w:pPr>
              <w:jc w:val="center"/>
              <w:rPr>
                <w:rFonts w:ascii="Arial" w:hAnsi="Arial"/>
                <w:color w:val="000000"/>
                <w:sz w:val="20"/>
              </w:rPr>
            </w:pPr>
            <w:r>
              <w:rPr>
                <w:rFonts w:ascii="Arial" w:hAnsi="Arial"/>
                <w:color w:val="000000"/>
                <w:sz w:val="20"/>
              </w:rPr>
              <w:t>Ex-ante database</w:t>
            </w:r>
          </w:p>
        </w:tc>
        <w:tc>
          <w:tcPr>
            <w:tcW w:w="3201" w:type="pct"/>
            <w:shd w:val="clear" w:color="auto" w:fill="auto"/>
            <w:noWrap/>
            <w:vAlign w:val="bottom"/>
          </w:tcPr>
          <w:p w14:paraId="523D9C5F" w14:textId="77777777" w:rsidR="008A7718" w:rsidRPr="007E3EDF" w:rsidRDefault="008A7718" w:rsidP="007F50D8">
            <w:pPr>
              <w:jc w:val="center"/>
              <w:rPr>
                <w:rFonts w:ascii="Arial" w:hAnsi="Arial"/>
                <w:color w:val="000000"/>
                <w:sz w:val="20"/>
              </w:rPr>
            </w:pPr>
            <w:r>
              <w:rPr>
                <w:rFonts w:ascii="Calibri" w:hAnsi="Calibri"/>
                <w:color w:val="000000"/>
                <w:szCs w:val="22"/>
              </w:rPr>
              <w:t>LED High/Low Bay:  110 LPW to &lt;130 LPW, 0 to &lt;48 W</w:t>
            </w:r>
          </w:p>
        </w:tc>
      </w:tr>
      <w:tr w:rsidR="008A7718" w:rsidRPr="002B40BA" w14:paraId="05F4A982" w14:textId="77777777" w:rsidTr="00B62AFB">
        <w:trPr>
          <w:trHeight w:val="337"/>
          <w:jc w:val="center"/>
        </w:trPr>
        <w:tc>
          <w:tcPr>
            <w:tcW w:w="559" w:type="pct"/>
            <w:shd w:val="clear" w:color="auto" w:fill="auto"/>
            <w:noWrap/>
            <w:vAlign w:val="bottom"/>
          </w:tcPr>
          <w:p w14:paraId="6DFFAE80" w14:textId="77777777" w:rsidR="008A7718" w:rsidRPr="007E3EDF" w:rsidRDefault="008A7718" w:rsidP="008A7718">
            <w:pPr>
              <w:autoSpaceDE w:val="0"/>
              <w:autoSpaceDN w:val="0"/>
              <w:jc w:val="center"/>
              <w:rPr>
                <w:rFonts w:ascii="Arial" w:hAnsi="Arial"/>
                <w:color w:val="000000"/>
                <w:sz w:val="20"/>
              </w:rPr>
            </w:pPr>
            <w:r>
              <w:rPr>
                <w:rFonts w:ascii="Calibri" w:hAnsi="Calibri"/>
                <w:color w:val="000000"/>
                <w:szCs w:val="22"/>
              </w:rPr>
              <w:t>LT377</w:t>
            </w:r>
          </w:p>
        </w:tc>
        <w:tc>
          <w:tcPr>
            <w:tcW w:w="559" w:type="pct"/>
            <w:vAlign w:val="center"/>
          </w:tcPr>
          <w:p w14:paraId="04D651AD" w14:textId="77777777" w:rsidR="008A7718" w:rsidRPr="007E3EDF" w:rsidRDefault="008A7718" w:rsidP="008A7718">
            <w:pPr>
              <w:jc w:val="center"/>
              <w:rPr>
                <w:rFonts w:ascii="Arial" w:hAnsi="Arial"/>
                <w:color w:val="000000"/>
                <w:sz w:val="20"/>
              </w:rPr>
            </w:pPr>
          </w:p>
        </w:tc>
        <w:tc>
          <w:tcPr>
            <w:tcW w:w="680" w:type="pct"/>
          </w:tcPr>
          <w:p w14:paraId="2D07FFFD" w14:textId="44E2E2B8" w:rsidR="008A7718" w:rsidRPr="007E3EDF" w:rsidRDefault="008A7718" w:rsidP="008A7718">
            <w:pPr>
              <w:jc w:val="center"/>
              <w:rPr>
                <w:rFonts w:ascii="Arial" w:hAnsi="Arial"/>
                <w:color w:val="000000"/>
                <w:sz w:val="20"/>
              </w:rPr>
            </w:pPr>
            <w:r w:rsidRPr="005F4F6B">
              <w:rPr>
                <w:rFonts w:ascii="Arial" w:hAnsi="Arial"/>
                <w:color w:val="000000"/>
                <w:sz w:val="20"/>
              </w:rPr>
              <w:t>Ex-ante database</w:t>
            </w:r>
          </w:p>
        </w:tc>
        <w:tc>
          <w:tcPr>
            <w:tcW w:w="3201" w:type="pct"/>
            <w:shd w:val="clear" w:color="auto" w:fill="auto"/>
            <w:noWrap/>
            <w:vAlign w:val="bottom"/>
          </w:tcPr>
          <w:p w14:paraId="26F451D9" w14:textId="77777777" w:rsidR="008A7718" w:rsidRPr="007E3EDF" w:rsidRDefault="008A7718" w:rsidP="008A7718">
            <w:pPr>
              <w:jc w:val="center"/>
              <w:rPr>
                <w:rFonts w:ascii="Arial" w:hAnsi="Arial"/>
                <w:color w:val="000000"/>
                <w:sz w:val="20"/>
              </w:rPr>
            </w:pPr>
            <w:r>
              <w:rPr>
                <w:rFonts w:ascii="Calibri" w:hAnsi="Calibri"/>
                <w:color w:val="000000"/>
                <w:szCs w:val="22"/>
              </w:rPr>
              <w:t>LED High/Low Bay:  110 LPW to &lt;130 LPW, 48 to &lt;71 W</w:t>
            </w:r>
          </w:p>
        </w:tc>
      </w:tr>
      <w:tr w:rsidR="008A7718" w:rsidRPr="002B40BA" w14:paraId="4B4FA5E7" w14:textId="77777777" w:rsidTr="00B62AFB">
        <w:trPr>
          <w:trHeight w:val="337"/>
          <w:jc w:val="center"/>
        </w:trPr>
        <w:tc>
          <w:tcPr>
            <w:tcW w:w="559" w:type="pct"/>
            <w:shd w:val="clear" w:color="auto" w:fill="auto"/>
            <w:noWrap/>
            <w:vAlign w:val="bottom"/>
          </w:tcPr>
          <w:p w14:paraId="16179222" w14:textId="77777777" w:rsidR="008A7718" w:rsidRPr="007E3EDF" w:rsidRDefault="008A7718" w:rsidP="008A7718">
            <w:pPr>
              <w:autoSpaceDE w:val="0"/>
              <w:autoSpaceDN w:val="0"/>
              <w:jc w:val="center"/>
              <w:rPr>
                <w:rFonts w:ascii="Arial" w:hAnsi="Arial"/>
                <w:color w:val="000000"/>
                <w:sz w:val="20"/>
              </w:rPr>
            </w:pPr>
            <w:r>
              <w:rPr>
                <w:rFonts w:ascii="Calibri" w:hAnsi="Calibri"/>
                <w:color w:val="000000"/>
                <w:szCs w:val="22"/>
              </w:rPr>
              <w:lastRenderedPageBreak/>
              <w:t>LT378</w:t>
            </w:r>
          </w:p>
        </w:tc>
        <w:tc>
          <w:tcPr>
            <w:tcW w:w="559" w:type="pct"/>
            <w:vAlign w:val="center"/>
          </w:tcPr>
          <w:p w14:paraId="214DD4C8" w14:textId="77777777" w:rsidR="008A7718" w:rsidRPr="007E3EDF" w:rsidRDefault="008A7718" w:rsidP="008A7718">
            <w:pPr>
              <w:jc w:val="center"/>
              <w:rPr>
                <w:rFonts w:ascii="Arial" w:hAnsi="Arial"/>
                <w:color w:val="000000"/>
                <w:sz w:val="20"/>
              </w:rPr>
            </w:pPr>
          </w:p>
        </w:tc>
        <w:tc>
          <w:tcPr>
            <w:tcW w:w="680" w:type="pct"/>
          </w:tcPr>
          <w:p w14:paraId="41E8B980" w14:textId="4F208CFA" w:rsidR="008A7718" w:rsidRPr="007E3EDF" w:rsidRDefault="008A7718" w:rsidP="008A7718">
            <w:pPr>
              <w:jc w:val="center"/>
              <w:rPr>
                <w:rFonts w:ascii="Arial" w:hAnsi="Arial"/>
                <w:color w:val="000000"/>
                <w:sz w:val="20"/>
              </w:rPr>
            </w:pPr>
            <w:r w:rsidRPr="005F4F6B">
              <w:rPr>
                <w:rFonts w:ascii="Arial" w:hAnsi="Arial"/>
                <w:color w:val="000000"/>
                <w:sz w:val="20"/>
              </w:rPr>
              <w:t>Ex-ante database</w:t>
            </w:r>
          </w:p>
        </w:tc>
        <w:tc>
          <w:tcPr>
            <w:tcW w:w="3201" w:type="pct"/>
            <w:shd w:val="clear" w:color="auto" w:fill="auto"/>
            <w:noWrap/>
            <w:vAlign w:val="bottom"/>
          </w:tcPr>
          <w:p w14:paraId="182129DC" w14:textId="77777777" w:rsidR="008A7718" w:rsidRPr="007E3EDF" w:rsidRDefault="008A7718" w:rsidP="008A7718">
            <w:pPr>
              <w:jc w:val="center"/>
              <w:rPr>
                <w:rFonts w:ascii="Arial" w:eastAsiaTheme="minorHAnsi" w:hAnsi="Arial"/>
                <w:color w:val="000000"/>
                <w:sz w:val="20"/>
              </w:rPr>
            </w:pPr>
            <w:r>
              <w:rPr>
                <w:rFonts w:ascii="Calibri" w:hAnsi="Calibri"/>
                <w:color w:val="000000"/>
                <w:szCs w:val="22"/>
              </w:rPr>
              <w:t>LED High/Low Bay:  110 LPW to &lt;130 LPW, 71 to &lt;90 W</w:t>
            </w:r>
          </w:p>
        </w:tc>
      </w:tr>
      <w:tr w:rsidR="008A7718" w:rsidRPr="002B40BA" w14:paraId="3A088DBC" w14:textId="77777777" w:rsidTr="00B62AFB">
        <w:trPr>
          <w:trHeight w:val="337"/>
          <w:jc w:val="center"/>
        </w:trPr>
        <w:tc>
          <w:tcPr>
            <w:tcW w:w="559" w:type="pct"/>
            <w:shd w:val="clear" w:color="auto" w:fill="auto"/>
            <w:noWrap/>
            <w:vAlign w:val="bottom"/>
          </w:tcPr>
          <w:p w14:paraId="499C659C" w14:textId="77777777" w:rsidR="008A7718" w:rsidRPr="007E3EDF" w:rsidRDefault="008A7718" w:rsidP="008A7718">
            <w:pPr>
              <w:autoSpaceDE w:val="0"/>
              <w:autoSpaceDN w:val="0"/>
              <w:jc w:val="center"/>
              <w:rPr>
                <w:rFonts w:ascii="Arial" w:hAnsi="Arial"/>
                <w:color w:val="000000"/>
                <w:sz w:val="20"/>
              </w:rPr>
            </w:pPr>
            <w:r>
              <w:rPr>
                <w:rFonts w:ascii="Calibri" w:hAnsi="Calibri"/>
                <w:color w:val="000000"/>
                <w:szCs w:val="22"/>
              </w:rPr>
              <w:t>LT379</w:t>
            </w:r>
          </w:p>
        </w:tc>
        <w:tc>
          <w:tcPr>
            <w:tcW w:w="559" w:type="pct"/>
            <w:vAlign w:val="center"/>
          </w:tcPr>
          <w:p w14:paraId="0FF2F195" w14:textId="77777777" w:rsidR="008A7718" w:rsidRPr="007E3EDF" w:rsidRDefault="008A7718" w:rsidP="008A7718">
            <w:pPr>
              <w:jc w:val="center"/>
              <w:rPr>
                <w:rFonts w:ascii="Arial" w:hAnsi="Arial"/>
                <w:color w:val="000000"/>
                <w:sz w:val="20"/>
              </w:rPr>
            </w:pPr>
          </w:p>
        </w:tc>
        <w:tc>
          <w:tcPr>
            <w:tcW w:w="680" w:type="pct"/>
          </w:tcPr>
          <w:p w14:paraId="762AA7C9" w14:textId="2ECD2E62" w:rsidR="008A7718" w:rsidRPr="007E3EDF" w:rsidRDefault="008A7718" w:rsidP="008A7718">
            <w:pPr>
              <w:jc w:val="center"/>
              <w:rPr>
                <w:rFonts w:ascii="Arial" w:hAnsi="Arial"/>
                <w:color w:val="000000"/>
                <w:sz w:val="20"/>
              </w:rPr>
            </w:pPr>
            <w:r w:rsidRPr="005F4F6B">
              <w:rPr>
                <w:rFonts w:ascii="Arial" w:hAnsi="Arial"/>
                <w:color w:val="000000"/>
                <w:sz w:val="20"/>
              </w:rPr>
              <w:t>Ex-ante database</w:t>
            </w:r>
          </w:p>
        </w:tc>
        <w:tc>
          <w:tcPr>
            <w:tcW w:w="3201" w:type="pct"/>
            <w:shd w:val="clear" w:color="auto" w:fill="auto"/>
            <w:noWrap/>
            <w:vAlign w:val="bottom"/>
          </w:tcPr>
          <w:p w14:paraId="5D73AEDF" w14:textId="77777777" w:rsidR="008A7718" w:rsidRPr="007E3EDF" w:rsidRDefault="008A7718" w:rsidP="008A7718">
            <w:pPr>
              <w:jc w:val="center"/>
              <w:rPr>
                <w:rFonts w:ascii="Arial" w:eastAsiaTheme="minorHAnsi" w:hAnsi="Arial"/>
                <w:color w:val="000000"/>
                <w:sz w:val="20"/>
              </w:rPr>
            </w:pPr>
            <w:r>
              <w:rPr>
                <w:rFonts w:ascii="Calibri" w:hAnsi="Calibri"/>
                <w:color w:val="000000"/>
                <w:szCs w:val="22"/>
              </w:rPr>
              <w:t>LED High/Low Bay:  120 LPW to &lt;130 LPW, 90 to &lt;125 W</w:t>
            </w:r>
          </w:p>
        </w:tc>
      </w:tr>
      <w:tr w:rsidR="008A7718" w:rsidRPr="002B40BA" w14:paraId="5E8A0F23" w14:textId="77777777" w:rsidTr="00B62AFB">
        <w:trPr>
          <w:trHeight w:val="337"/>
          <w:jc w:val="center"/>
        </w:trPr>
        <w:tc>
          <w:tcPr>
            <w:tcW w:w="559" w:type="pct"/>
            <w:shd w:val="clear" w:color="auto" w:fill="auto"/>
            <w:noWrap/>
            <w:vAlign w:val="bottom"/>
          </w:tcPr>
          <w:p w14:paraId="75322E46" w14:textId="77777777" w:rsidR="008A7718" w:rsidRPr="007E3EDF" w:rsidRDefault="008A7718" w:rsidP="008A7718">
            <w:pPr>
              <w:autoSpaceDE w:val="0"/>
              <w:autoSpaceDN w:val="0"/>
              <w:jc w:val="center"/>
              <w:rPr>
                <w:rFonts w:ascii="Arial" w:hAnsi="Arial"/>
                <w:color w:val="000000"/>
                <w:sz w:val="20"/>
              </w:rPr>
            </w:pPr>
            <w:r>
              <w:rPr>
                <w:rFonts w:ascii="Calibri" w:hAnsi="Calibri"/>
                <w:color w:val="000000"/>
                <w:szCs w:val="22"/>
              </w:rPr>
              <w:t>LT380</w:t>
            </w:r>
          </w:p>
        </w:tc>
        <w:tc>
          <w:tcPr>
            <w:tcW w:w="559" w:type="pct"/>
            <w:vAlign w:val="center"/>
          </w:tcPr>
          <w:p w14:paraId="2126307D" w14:textId="77777777" w:rsidR="008A7718" w:rsidRPr="007E3EDF" w:rsidRDefault="008A7718" w:rsidP="008A7718">
            <w:pPr>
              <w:jc w:val="center"/>
              <w:rPr>
                <w:rFonts w:ascii="Arial" w:hAnsi="Arial"/>
                <w:color w:val="000000"/>
                <w:sz w:val="20"/>
              </w:rPr>
            </w:pPr>
          </w:p>
        </w:tc>
        <w:tc>
          <w:tcPr>
            <w:tcW w:w="680" w:type="pct"/>
          </w:tcPr>
          <w:p w14:paraId="511EE508" w14:textId="10793E18" w:rsidR="008A7718" w:rsidRPr="007E3EDF" w:rsidRDefault="008A7718" w:rsidP="008A7718">
            <w:pPr>
              <w:jc w:val="center"/>
              <w:rPr>
                <w:rFonts w:ascii="Arial" w:hAnsi="Arial"/>
                <w:color w:val="000000"/>
                <w:sz w:val="20"/>
              </w:rPr>
            </w:pPr>
            <w:r w:rsidRPr="005F4F6B">
              <w:rPr>
                <w:rFonts w:ascii="Arial" w:hAnsi="Arial"/>
                <w:color w:val="000000"/>
                <w:sz w:val="20"/>
              </w:rPr>
              <w:t>Ex-ante database</w:t>
            </w:r>
          </w:p>
        </w:tc>
        <w:tc>
          <w:tcPr>
            <w:tcW w:w="3201" w:type="pct"/>
            <w:shd w:val="clear" w:color="auto" w:fill="auto"/>
            <w:noWrap/>
            <w:vAlign w:val="bottom"/>
          </w:tcPr>
          <w:p w14:paraId="29453189" w14:textId="77777777" w:rsidR="008A7718" w:rsidRPr="007E3EDF" w:rsidRDefault="008A7718" w:rsidP="008A7718">
            <w:pPr>
              <w:jc w:val="center"/>
              <w:rPr>
                <w:rFonts w:ascii="Arial" w:eastAsiaTheme="minorHAnsi" w:hAnsi="Arial"/>
                <w:color w:val="000000"/>
                <w:sz w:val="20"/>
              </w:rPr>
            </w:pPr>
            <w:r>
              <w:rPr>
                <w:rFonts w:ascii="Calibri" w:hAnsi="Calibri"/>
                <w:color w:val="000000"/>
                <w:szCs w:val="22"/>
              </w:rPr>
              <w:t>LED High/Low Bay:  120 LPW to &lt;130 LPW, 125 to &lt;153 W</w:t>
            </w:r>
          </w:p>
        </w:tc>
      </w:tr>
      <w:tr w:rsidR="008A7718" w:rsidRPr="002B40BA" w14:paraId="4E0F308F" w14:textId="77777777" w:rsidTr="00B62AFB">
        <w:trPr>
          <w:trHeight w:val="337"/>
          <w:jc w:val="center"/>
        </w:trPr>
        <w:tc>
          <w:tcPr>
            <w:tcW w:w="559" w:type="pct"/>
            <w:shd w:val="clear" w:color="auto" w:fill="auto"/>
            <w:noWrap/>
            <w:vAlign w:val="bottom"/>
          </w:tcPr>
          <w:p w14:paraId="71739EA8" w14:textId="77777777" w:rsidR="008A7718" w:rsidRPr="007E3EDF" w:rsidRDefault="008A7718" w:rsidP="008A7718">
            <w:pPr>
              <w:autoSpaceDE w:val="0"/>
              <w:autoSpaceDN w:val="0"/>
              <w:jc w:val="center"/>
              <w:rPr>
                <w:rFonts w:ascii="Arial" w:hAnsi="Arial"/>
                <w:color w:val="000000"/>
                <w:sz w:val="20"/>
              </w:rPr>
            </w:pPr>
            <w:r>
              <w:rPr>
                <w:rFonts w:ascii="Calibri" w:hAnsi="Calibri"/>
                <w:color w:val="000000"/>
                <w:szCs w:val="22"/>
              </w:rPr>
              <w:t>LT381</w:t>
            </w:r>
          </w:p>
        </w:tc>
        <w:tc>
          <w:tcPr>
            <w:tcW w:w="559" w:type="pct"/>
            <w:vAlign w:val="center"/>
          </w:tcPr>
          <w:p w14:paraId="7B9A9747" w14:textId="77777777" w:rsidR="008A7718" w:rsidRPr="007E3EDF" w:rsidRDefault="008A7718" w:rsidP="008A7718">
            <w:pPr>
              <w:jc w:val="center"/>
              <w:rPr>
                <w:rFonts w:ascii="Arial" w:hAnsi="Arial"/>
                <w:color w:val="000000"/>
                <w:sz w:val="20"/>
              </w:rPr>
            </w:pPr>
          </w:p>
        </w:tc>
        <w:tc>
          <w:tcPr>
            <w:tcW w:w="680" w:type="pct"/>
          </w:tcPr>
          <w:p w14:paraId="74AA6F8F" w14:textId="164FE60E" w:rsidR="008A7718" w:rsidRPr="007E3EDF" w:rsidRDefault="008A7718" w:rsidP="008A7718">
            <w:pPr>
              <w:jc w:val="center"/>
              <w:rPr>
                <w:rFonts w:ascii="Arial" w:hAnsi="Arial"/>
                <w:color w:val="000000"/>
                <w:sz w:val="20"/>
              </w:rPr>
            </w:pPr>
            <w:r w:rsidRPr="005F4F6B">
              <w:rPr>
                <w:rFonts w:ascii="Arial" w:hAnsi="Arial"/>
                <w:color w:val="000000"/>
                <w:sz w:val="20"/>
              </w:rPr>
              <w:t>Ex-ante database</w:t>
            </w:r>
          </w:p>
        </w:tc>
        <w:tc>
          <w:tcPr>
            <w:tcW w:w="3201" w:type="pct"/>
            <w:shd w:val="clear" w:color="auto" w:fill="auto"/>
            <w:noWrap/>
            <w:vAlign w:val="bottom"/>
          </w:tcPr>
          <w:p w14:paraId="4986A906" w14:textId="77777777" w:rsidR="008A7718" w:rsidRPr="007E3EDF" w:rsidRDefault="008A7718" w:rsidP="008A7718">
            <w:pPr>
              <w:jc w:val="center"/>
              <w:rPr>
                <w:rFonts w:ascii="Arial" w:eastAsiaTheme="minorHAnsi" w:hAnsi="Arial"/>
                <w:color w:val="000000"/>
                <w:sz w:val="20"/>
              </w:rPr>
            </w:pPr>
            <w:r>
              <w:rPr>
                <w:rFonts w:ascii="Calibri" w:hAnsi="Calibri"/>
                <w:color w:val="000000"/>
                <w:szCs w:val="22"/>
              </w:rPr>
              <w:t>LED High/Low Bay:  125 LPW to &lt;135 LPW, 153 to &lt;187 W</w:t>
            </w:r>
          </w:p>
        </w:tc>
      </w:tr>
      <w:tr w:rsidR="008A7718" w:rsidRPr="002B40BA" w14:paraId="3C7B264D" w14:textId="77777777" w:rsidTr="00B62AFB">
        <w:trPr>
          <w:trHeight w:val="337"/>
          <w:jc w:val="center"/>
        </w:trPr>
        <w:tc>
          <w:tcPr>
            <w:tcW w:w="559" w:type="pct"/>
            <w:shd w:val="clear" w:color="auto" w:fill="auto"/>
            <w:noWrap/>
            <w:vAlign w:val="bottom"/>
          </w:tcPr>
          <w:p w14:paraId="37C6AE93" w14:textId="77777777" w:rsidR="008A7718" w:rsidRPr="007E3EDF" w:rsidRDefault="008A7718" w:rsidP="008A7718">
            <w:pPr>
              <w:autoSpaceDE w:val="0"/>
              <w:autoSpaceDN w:val="0"/>
              <w:jc w:val="center"/>
              <w:rPr>
                <w:rFonts w:ascii="Arial" w:hAnsi="Arial"/>
                <w:color w:val="000000"/>
                <w:sz w:val="20"/>
              </w:rPr>
            </w:pPr>
            <w:r>
              <w:rPr>
                <w:rFonts w:ascii="Calibri" w:hAnsi="Calibri"/>
                <w:color w:val="000000"/>
                <w:szCs w:val="22"/>
              </w:rPr>
              <w:t>LT382</w:t>
            </w:r>
          </w:p>
        </w:tc>
        <w:tc>
          <w:tcPr>
            <w:tcW w:w="559" w:type="pct"/>
            <w:vAlign w:val="center"/>
          </w:tcPr>
          <w:p w14:paraId="5C2401F6" w14:textId="77777777" w:rsidR="008A7718" w:rsidRPr="007E3EDF" w:rsidRDefault="008A7718" w:rsidP="008A7718">
            <w:pPr>
              <w:jc w:val="center"/>
              <w:rPr>
                <w:rFonts w:ascii="Arial" w:hAnsi="Arial"/>
                <w:color w:val="000000"/>
                <w:sz w:val="20"/>
              </w:rPr>
            </w:pPr>
          </w:p>
        </w:tc>
        <w:tc>
          <w:tcPr>
            <w:tcW w:w="680" w:type="pct"/>
          </w:tcPr>
          <w:p w14:paraId="6C6C1BEC" w14:textId="12395791" w:rsidR="008A7718" w:rsidRPr="007E3EDF" w:rsidRDefault="008A7718" w:rsidP="008A7718">
            <w:pPr>
              <w:jc w:val="center"/>
              <w:rPr>
                <w:rFonts w:ascii="Arial" w:hAnsi="Arial"/>
                <w:color w:val="000000"/>
                <w:sz w:val="20"/>
              </w:rPr>
            </w:pPr>
            <w:r w:rsidRPr="005F4F6B">
              <w:rPr>
                <w:rFonts w:ascii="Arial" w:hAnsi="Arial"/>
                <w:color w:val="000000"/>
                <w:sz w:val="20"/>
              </w:rPr>
              <w:t>Ex-ante database</w:t>
            </w:r>
          </w:p>
        </w:tc>
        <w:tc>
          <w:tcPr>
            <w:tcW w:w="3201" w:type="pct"/>
            <w:shd w:val="clear" w:color="auto" w:fill="auto"/>
            <w:noWrap/>
            <w:vAlign w:val="bottom"/>
          </w:tcPr>
          <w:p w14:paraId="0A78199C" w14:textId="77777777" w:rsidR="008A7718" w:rsidRPr="007E3EDF" w:rsidRDefault="008A7718" w:rsidP="008A7718">
            <w:pPr>
              <w:jc w:val="center"/>
              <w:rPr>
                <w:rFonts w:ascii="Arial" w:eastAsiaTheme="minorHAnsi" w:hAnsi="Arial"/>
                <w:color w:val="000000"/>
                <w:sz w:val="20"/>
              </w:rPr>
            </w:pPr>
            <w:r>
              <w:rPr>
                <w:rFonts w:ascii="Calibri" w:hAnsi="Calibri"/>
                <w:color w:val="000000"/>
                <w:szCs w:val="22"/>
              </w:rPr>
              <w:t>LED High/Low Bay:  125 LPW to &lt;135 LPW, 187 to &lt;212 W</w:t>
            </w:r>
          </w:p>
        </w:tc>
      </w:tr>
      <w:tr w:rsidR="008A7718" w:rsidRPr="002B40BA" w14:paraId="2C3F06D1" w14:textId="77777777" w:rsidTr="00B62AFB">
        <w:trPr>
          <w:trHeight w:val="337"/>
          <w:jc w:val="center"/>
        </w:trPr>
        <w:tc>
          <w:tcPr>
            <w:tcW w:w="559" w:type="pct"/>
            <w:shd w:val="clear" w:color="auto" w:fill="auto"/>
            <w:noWrap/>
            <w:vAlign w:val="bottom"/>
          </w:tcPr>
          <w:p w14:paraId="5B792D64" w14:textId="77777777" w:rsidR="008A7718" w:rsidRPr="007E3EDF" w:rsidRDefault="008A7718" w:rsidP="008A7718">
            <w:pPr>
              <w:autoSpaceDE w:val="0"/>
              <w:autoSpaceDN w:val="0"/>
              <w:jc w:val="center"/>
              <w:rPr>
                <w:rFonts w:ascii="Arial" w:hAnsi="Arial"/>
                <w:color w:val="000000"/>
                <w:sz w:val="20"/>
              </w:rPr>
            </w:pPr>
            <w:r>
              <w:rPr>
                <w:rFonts w:ascii="Calibri" w:hAnsi="Calibri"/>
                <w:color w:val="000000"/>
                <w:szCs w:val="22"/>
              </w:rPr>
              <w:t>LT383</w:t>
            </w:r>
          </w:p>
        </w:tc>
        <w:tc>
          <w:tcPr>
            <w:tcW w:w="559" w:type="pct"/>
            <w:vAlign w:val="center"/>
          </w:tcPr>
          <w:p w14:paraId="52CF31DD" w14:textId="77777777" w:rsidR="008A7718" w:rsidRPr="007E3EDF" w:rsidRDefault="008A7718" w:rsidP="008A7718">
            <w:pPr>
              <w:jc w:val="center"/>
              <w:rPr>
                <w:rFonts w:ascii="Arial" w:hAnsi="Arial"/>
                <w:color w:val="000000"/>
                <w:sz w:val="20"/>
              </w:rPr>
            </w:pPr>
          </w:p>
        </w:tc>
        <w:tc>
          <w:tcPr>
            <w:tcW w:w="680" w:type="pct"/>
          </w:tcPr>
          <w:p w14:paraId="71B8D1A2" w14:textId="3CE11D28" w:rsidR="008A7718" w:rsidRPr="007E3EDF" w:rsidRDefault="008A7718" w:rsidP="008A7718">
            <w:pPr>
              <w:jc w:val="center"/>
              <w:rPr>
                <w:rFonts w:ascii="Arial" w:hAnsi="Arial"/>
                <w:color w:val="000000"/>
                <w:sz w:val="20"/>
              </w:rPr>
            </w:pPr>
            <w:r w:rsidRPr="005F4F6B">
              <w:rPr>
                <w:rFonts w:ascii="Arial" w:hAnsi="Arial"/>
                <w:color w:val="000000"/>
                <w:sz w:val="20"/>
              </w:rPr>
              <w:t>Ex-ante database</w:t>
            </w:r>
          </w:p>
        </w:tc>
        <w:tc>
          <w:tcPr>
            <w:tcW w:w="3201" w:type="pct"/>
            <w:shd w:val="clear" w:color="auto" w:fill="auto"/>
            <w:noWrap/>
            <w:vAlign w:val="bottom"/>
          </w:tcPr>
          <w:p w14:paraId="5A4F38B3" w14:textId="77777777" w:rsidR="008A7718" w:rsidRPr="007E3EDF" w:rsidRDefault="008A7718" w:rsidP="008A7718">
            <w:pPr>
              <w:jc w:val="center"/>
              <w:rPr>
                <w:rFonts w:ascii="Arial" w:eastAsiaTheme="minorHAnsi" w:hAnsi="Arial"/>
                <w:color w:val="000000"/>
                <w:sz w:val="20"/>
              </w:rPr>
            </w:pPr>
            <w:r>
              <w:rPr>
                <w:rFonts w:ascii="Calibri" w:hAnsi="Calibri"/>
                <w:color w:val="000000"/>
                <w:szCs w:val="22"/>
              </w:rPr>
              <w:t>LED High/Low Bay:  125 LPW to &lt;135 LPW, 212 to &lt;246 W</w:t>
            </w:r>
          </w:p>
        </w:tc>
      </w:tr>
      <w:tr w:rsidR="008A7718" w:rsidRPr="002B40BA" w14:paraId="228D4A19" w14:textId="77777777" w:rsidTr="00B62AFB">
        <w:trPr>
          <w:trHeight w:val="337"/>
          <w:jc w:val="center"/>
        </w:trPr>
        <w:tc>
          <w:tcPr>
            <w:tcW w:w="559" w:type="pct"/>
            <w:shd w:val="clear" w:color="auto" w:fill="auto"/>
            <w:noWrap/>
            <w:vAlign w:val="bottom"/>
          </w:tcPr>
          <w:p w14:paraId="08F546F6" w14:textId="77777777" w:rsidR="008A7718" w:rsidRPr="007E3EDF" w:rsidRDefault="008A7718" w:rsidP="008A7718">
            <w:pPr>
              <w:autoSpaceDE w:val="0"/>
              <w:autoSpaceDN w:val="0"/>
              <w:jc w:val="center"/>
              <w:rPr>
                <w:rFonts w:ascii="Arial" w:hAnsi="Arial"/>
                <w:color w:val="000000"/>
                <w:sz w:val="20"/>
              </w:rPr>
            </w:pPr>
            <w:r>
              <w:rPr>
                <w:rFonts w:ascii="Calibri" w:hAnsi="Calibri"/>
                <w:color w:val="000000"/>
                <w:szCs w:val="22"/>
              </w:rPr>
              <w:t>LT384</w:t>
            </w:r>
          </w:p>
        </w:tc>
        <w:tc>
          <w:tcPr>
            <w:tcW w:w="559" w:type="pct"/>
            <w:vAlign w:val="center"/>
          </w:tcPr>
          <w:p w14:paraId="44B00656" w14:textId="77777777" w:rsidR="008A7718" w:rsidRPr="007E3EDF" w:rsidRDefault="008A7718" w:rsidP="008A7718">
            <w:pPr>
              <w:jc w:val="center"/>
              <w:rPr>
                <w:rFonts w:ascii="Arial" w:hAnsi="Arial"/>
                <w:color w:val="000000"/>
                <w:sz w:val="20"/>
              </w:rPr>
            </w:pPr>
          </w:p>
        </w:tc>
        <w:tc>
          <w:tcPr>
            <w:tcW w:w="680" w:type="pct"/>
          </w:tcPr>
          <w:p w14:paraId="2FEFE936" w14:textId="23286C50" w:rsidR="008A7718" w:rsidRPr="007E3EDF" w:rsidRDefault="008A7718" w:rsidP="008A7718">
            <w:pPr>
              <w:jc w:val="center"/>
              <w:rPr>
                <w:rFonts w:ascii="Arial" w:hAnsi="Arial"/>
                <w:color w:val="000000"/>
                <w:sz w:val="20"/>
              </w:rPr>
            </w:pPr>
            <w:r w:rsidRPr="005F4F6B">
              <w:rPr>
                <w:rFonts w:ascii="Arial" w:hAnsi="Arial"/>
                <w:color w:val="000000"/>
                <w:sz w:val="20"/>
              </w:rPr>
              <w:t>Ex-ante database</w:t>
            </w:r>
          </w:p>
        </w:tc>
        <w:tc>
          <w:tcPr>
            <w:tcW w:w="3201" w:type="pct"/>
            <w:shd w:val="clear" w:color="auto" w:fill="auto"/>
            <w:noWrap/>
            <w:vAlign w:val="bottom"/>
          </w:tcPr>
          <w:p w14:paraId="21D27989" w14:textId="77777777" w:rsidR="008A7718" w:rsidRPr="007E3EDF" w:rsidRDefault="008A7718" w:rsidP="008A7718">
            <w:pPr>
              <w:jc w:val="center"/>
              <w:rPr>
                <w:rFonts w:ascii="Arial" w:eastAsiaTheme="minorHAnsi" w:hAnsi="Arial"/>
                <w:color w:val="000000"/>
                <w:sz w:val="20"/>
              </w:rPr>
            </w:pPr>
            <w:r>
              <w:rPr>
                <w:rFonts w:ascii="Calibri" w:hAnsi="Calibri"/>
                <w:color w:val="000000"/>
                <w:szCs w:val="22"/>
              </w:rPr>
              <w:t>LED High/Low Bay:  125 LPW to &lt;135 LPW, 246 to &lt;283 W</w:t>
            </w:r>
          </w:p>
        </w:tc>
      </w:tr>
      <w:tr w:rsidR="008A7718" w:rsidRPr="002B40BA" w14:paraId="65220E0D" w14:textId="77777777" w:rsidTr="00B62AFB">
        <w:trPr>
          <w:trHeight w:val="337"/>
          <w:jc w:val="center"/>
        </w:trPr>
        <w:tc>
          <w:tcPr>
            <w:tcW w:w="559" w:type="pct"/>
            <w:shd w:val="clear" w:color="auto" w:fill="auto"/>
            <w:noWrap/>
            <w:vAlign w:val="bottom"/>
          </w:tcPr>
          <w:p w14:paraId="216065F1" w14:textId="77777777" w:rsidR="008A7718" w:rsidRPr="007E3EDF" w:rsidRDefault="008A7718" w:rsidP="008A7718">
            <w:pPr>
              <w:autoSpaceDE w:val="0"/>
              <w:autoSpaceDN w:val="0"/>
              <w:jc w:val="center"/>
              <w:rPr>
                <w:rFonts w:ascii="Arial" w:hAnsi="Arial"/>
                <w:color w:val="000000"/>
                <w:sz w:val="20"/>
              </w:rPr>
            </w:pPr>
            <w:r>
              <w:rPr>
                <w:rFonts w:ascii="Calibri" w:hAnsi="Calibri"/>
                <w:color w:val="000000"/>
                <w:szCs w:val="22"/>
              </w:rPr>
              <w:t>LT385</w:t>
            </w:r>
          </w:p>
        </w:tc>
        <w:tc>
          <w:tcPr>
            <w:tcW w:w="559" w:type="pct"/>
            <w:vAlign w:val="center"/>
          </w:tcPr>
          <w:p w14:paraId="0A33A59F" w14:textId="77777777" w:rsidR="008A7718" w:rsidRPr="007E3EDF" w:rsidRDefault="008A7718" w:rsidP="008A7718">
            <w:pPr>
              <w:jc w:val="center"/>
              <w:rPr>
                <w:rFonts w:ascii="Arial" w:hAnsi="Arial"/>
                <w:color w:val="000000"/>
                <w:sz w:val="20"/>
              </w:rPr>
            </w:pPr>
          </w:p>
        </w:tc>
        <w:tc>
          <w:tcPr>
            <w:tcW w:w="680" w:type="pct"/>
          </w:tcPr>
          <w:p w14:paraId="7A657AC8" w14:textId="60CFF84D" w:rsidR="008A7718" w:rsidRPr="007E3EDF" w:rsidRDefault="008A7718" w:rsidP="008A7718">
            <w:pPr>
              <w:jc w:val="center"/>
              <w:rPr>
                <w:rFonts w:ascii="Arial" w:hAnsi="Arial"/>
                <w:color w:val="000000"/>
                <w:sz w:val="20"/>
              </w:rPr>
            </w:pPr>
            <w:r w:rsidRPr="005F4F6B">
              <w:rPr>
                <w:rFonts w:ascii="Arial" w:hAnsi="Arial"/>
                <w:color w:val="000000"/>
                <w:sz w:val="20"/>
              </w:rPr>
              <w:t>Ex-ante database</w:t>
            </w:r>
          </w:p>
        </w:tc>
        <w:tc>
          <w:tcPr>
            <w:tcW w:w="3201" w:type="pct"/>
            <w:shd w:val="clear" w:color="auto" w:fill="auto"/>
            <w:noWrap/>
            <w:vAlign w:val="bottom"/>
          </w:tcPr>
          <w:p w14:paraId="22244970" w14:textId="77777777" w:rsidR="008A7718" w:rsidRPr="007E3EDF" w:rsidRDefault="008A7718" w:rsidP="008A7718">
            <w:pPr>
              <w:jc w:val="center"/>
              <w:rPr>
                <w:rFonts w:ascii="Arial" w:eastAsiaTheme="minorHAnsi" w:hAnsi="Arial"/>
                <w:color w:val="000000"/>
                <w:sz w:val="20"/>
              </w:rPr>
            </w:pPr>
            <w:r>
              <w:rPr>
                <w:rFonts w:ascii="Calibri" w:hAnsi="Calibri"/>
                <w:color w:val="000000"/>
                <w:szCs w:val="22"/>
              </w:rPr>
              <w:t>LED High/Low Bay:  &gt;=130 LPW, 0 to &lt;42 W</w:t>
            </w:r>
          </w:p>
        </w:tc>
      </w:tr>
      <w:tr w:rsidR="008A7718" w:rsidRPr="002B40BA" w14:paraId="0FF2D4CC" w14:textId="77777777" w:rsidTr="00B62AFB">
        <w:trPr>
          <w:trHeight w:val="337"/>
          <w:jc w:val="center"/>
        </w:trPr>
        <w:tc>
          <w:tcPr>
            <w:tcW w:w="559" w:type="pct"/>
            <w:shd w:val="clear" w:color="auto" w:fill="auto"/>
            <w:noWrap/>
            <w:vAlign w:val="bottom"/>
          </w:tcPr>
          <w:p w14:paraId="6681E3AF" w14:textId="77777777" w:rsidR="008A7718" w:rsidRPr="007E3EDF" w:rsidRDefault="008A7718" w:rsidP="008A7718">
            <w:pPr>
              <w:autoSpaceDE w:val="0"/>
              <w:autoSpaceDN w:val="0"/>
              <w:jc w:val="center"/>
              <w:rPr>
                <w:rFonts w:ascii="Arial" w:hAnsi="Arial"/>
                <w:color w:val="000000"/>
                <w:sz w:val="20"/>
              </w:rPr>
            </w:pPr>
            <w:r>
              <w:rPr>
                <w:rFonts w:ascii="Calibri" w:hAnsi="Calibri"/>
                <w:color w:val="000000"/>
                <w:szCs w:val="22"/>
              </w:rPr>
              <w:t>LT386</w:t>
            </w:r>
          </w:p>
        </w:tc>
        <w:tc>
          <w:tcPr>
            <w:tcW w:w="559" w:type="pct"/>
            <w:vAlign w:val="center"/>
          </w:tcPr>
          <w:p w14:paraId="20089E0C" w14:textId="77777777" w:rsidR="008A7718" w:rsidRPr="007E3EDF" w:rsidRDefault="008A7718" w:rsidP="008A7718">
            <w:pPr>
              <w:jc w:val="center"/>
              <w:rPr>
                <w:rFonts w:ascii="Arial" w:hAnsi="Arial"/>
                <w:color w:val="000000"/>
                <w:sz w:val="20"/>
              </w:rPr>
            </w:pPr>
          </w:p>
        </w:tc>
        <w:tc>
          <w:tcPr>
            <w:tcW w:w="680" w:type="pct"/>
          </w:tcPr>
          <w:p w14:paraId="05A3F44D" w14:textId="25758781" w:rsidR="008A7718" w:rsidRPr="007E3EDF" w:rsidRDefault="008A7718" w:rsidP="008A7718">
            <w:pPr>
              <w:jc w:val="center"/>
              <w:rPr>
                <w:rFonts w:ascii="Arial" w:hAnsi="Arial"/>
                <w:color w:val="000000"/>
                <w:sz w:val="20"/>
              </w:rPr>
            </w:pPr>
            <w:r w:rsidRPr="005F4F6B">
              <w:rPr>
                <w:rFonts w:ascii="Arial" w:hAnsi="Arial"/>
                <w:color w:val="000000"/>
                <w:sz w:val="20"/>
              </w:rPr>
              <w:t>Ex-ante database</w:t>
            </w:r>
          </w:p>
        </w:tc>
        <w:tc>
          <w:tcPr>
            <w:tcW w:w="3201" w:type="pct"/>
            <w:shd w:val="clear" w:color="auto" w:fill="auto"/>
            <w:noWrap/>
            <w:vAlign w:val="bottom"/>
          </w:tcPr>
          <w:p w14:paraId="7DDFDB73" w14:textId="77777777" w:rsidR="008A7718" w:rsidRPr="007E3EDF" w:rsidRDefault="008A7718" w:rsidP="008A7718">
            <w:pPr>
              <w:jc w:val="center"/>
              <w:rPr>
                <w:rFonts w:ascii="Arial" w:eastAsiaTheme="minorHAnsi" w:hAnsi="Arial"/>
                <w:color w:val="000000"/>
                <w:sz w:val="20"/>
              </w:rPr>
            </w:pPr>
            <w:r>
              <w:rPr>
                <w:rFonts w:ascii="Calibri" w:hAnsi="Calibri"/>
                <w:color w:val="000000"/>
                <w:szCs w:val="22"/>
              </w:rPr>
              <w:t>LED High/Low Bay:  &gt;=130 LPW, 42 to &lt;60 W</w:t>
            </w:r>
          </w:p>
        </w:tc>
      </w:tr>
      <w:tr w:rsidR="008A7718" w:rsidRPr="002B40BA" w14:paraId="15EEF2CB" w14:textId="77777777" w:rsidTr="00B62AFB">
        <w:trPr>
          <w:trHeight w:val="337"/>
          <w:jc w:val="center"/>
        </w:trPr>
        <w:tc>
          <w:tcPr>
            <w:tcW w:w="559" w:type="pct"/>
            <w:shd w:val="clear" w:color="auto" w:fill="auto"/>
            <w:noWrap/>
            <w:vAlign w:val="bottom"/>
          </w:tcPr>
          <w:p w14:paraId="71DA6010" w14:textId="77777777" w:rsidR="008A7718" w:rsidRPr="007E3EDF" w:rsidRDefault="008A7718" w:rsidP="008A7718">
            <w:pPr>
              <w:autoSpaceDE w:val="0"/>
              <w:autoSpaceDN w:val="0"/>
              <w:jc w:val="center"/>
              <w:rPr>
                <w:rFonts w:ascii="Arial" w:hAnsi="Arial"/>
                <w:color w:val="000000"/>
                <w:sz w:val="20"/>
              </w:rPr>
            </w:pPr>
            <w:r>
              <w:rPr>
                <w:rFonts w:ascii="Calibri" w:hAnsi="Calibri"/>
                <w:color w:val="000000"/>
                <w:szCs w:val="22"/>
              </w:rPr>
              <w:t>LT387</w:t>
            </w:r>
          </w:p>
        </w:tc>
        <w:tc>
          <w:tcPr>
            <w:tcW w:w="559" w:type="pct"/>
            <w:vAlign w:val="center"/>
          </w:tcPr>
          <w:p w14:paraId="61A42A5D" w14:textId="77777777" w:rsidR="008A7718" w:rsidRPr="007E3EDF" w:rsidRDefault="008A7718" w:rsidP="008A7718">
            <w:pPr>
              <w:jc w:val="center"/>
              <w:rPr>
                <w:rFonts w:ascii="Arial" w:hAnsi="Arial"/>
                <w:color w:val="000000"/>
                <w:sz w:val="20"/>
              </w:rPr>
            </w:pPr>
          </w:p>
        </w:tc>
        <w:tc>
          <w:tcPr>
            <w:tcW w:w="680" w:type="pct"/>
          </w:tcPr>
          <w:p w14:paraId="71FA28FE" w14:textId="28DC1810" w:rsidR="008A7718" w:rsidRPr="007E3EDF" w:rsidRDefault="008A7718" w:rsidP="008A7718">
            <w:pPr>
              <w:jc w:val="center"/>
              <w:rPr>
                <w:rFonts w:ascii="Arial" w:hAnsi="Arial"/>
                <w:color w:val="000000"/>
                <w:sz w:val="20"/>
              </w:rPr>
            </w:pPr>
            <w:r w:rsidRPr="005F4F6B">
              <w:rPr>
                <w:rFonts w:ascii="Arial" w:hAnsi="Arial"/>
                <w:color w:val="000000"/>
                <w:sz w:val="20"/>
              </w:rPr>
              <w:t>Ex-ante database</w:t>
            </w:r>
          </w:p>
        </w:tc>
        <w:tc>
          <w:tcPr>
            <w:tcW w:w="3201" w:type="pct"/>
            <w:shd w:val="clear" w:color="auto" w:fill="auto"/>
            <w:noWrap/>
            <w:vAlign w:val="bottom"/>
          </w:tcPr>
          <w:p w14:paraId="2503981A" w14:textId="77777777" w:rsidR="008A7718" w:rsidRPr="007E3EDF" w:rsidRDefault="008A7718" w:rsidP="008A7718">
            <w:pPr>
              <w:jc w:val="center"/>
              <w:rPr>
                <w:rFonts w:ascii="Arial" w:hAnsi="Arial"/>
                <w:color w:val="000000"/>
                <w:sz w:val="20"/>
              </w:rPr>
            </w:pPr>
            <w:r>
              <w:rPr>
                <w:rFonts w:ascii="Calibri" w:hAnsi="Calibri"/>
                <w:color w:val="000000"/>
                <w:szCs w:val="22"/>
              </w:rPr>
              <w:t>LED High/Low Bay:  &gt;=130 LPW, 60 to &lt;82 W</w:t>
            </w:r>
          </w:p>
        </w:tc>
      </w:tr>
      <w:tr w:rsidR="008A7718" w:rsidRPr="002B40BA" w14:paraId="4DD6D146" w14:textId="77777777" w:rsidTr="00B62AFB">
        <w:trPr>
          <w:trHeight w:val="337"/>
          <w:jc w:val="center"/>
        </w:trPr>
        <w:tc>
          <w:tcPr>
            <w:tcW w:w="559" w:type="pct"/>
            <w:shd w:val="clear" w:color="auto" w:fill="auto"/>
            <w:noWrap/>
            <w:vAlign w:val="bottom"/>
          </w:tcPr>
          <w:p w14:paraId="0AE504F4" w14:textId="77777777" w:rsidR="008A7718" w:rsidRPr="007E3EDF" w:rsidRDefault="008A7718" w:rsidP="008A7718">
            <w:pPr>
              <w:autoSpaceDE w:val="0"/>
              <w:autoSpaceDN w:val="0"/>
              <w:jc w:val="center"/>
              <w:rPr>
                <w:rFonts w:ascii="Arial" w:hAnsi="Arial"/>
                <w:color w:val="000000"/>
                <w:sz w:val="20"/>
              </w:rPr>
            </w:pPr>
            <w:r>
              <w:rPr>
                <w:rFonts w:ascii="Calibri" w:hAnsi="Calibri"/>
                <w:color w:val="000000"/>
                <w:szCs w:val="22"/>
              </w:rPr>
              <w:t>LT388</w:t>
            </w:r>
          </w:p>
        </w:tc>
        <w:tc>
          <w:tcPr>
            <w:tcW w:w="559" w:type="pct"/>
            <w:vAlign w:val="center"/>
          </w:tcPr>
          <w:p w14:paraId="0EFBC8C1" w14:textId="77777777" w:rsidR="008A7718" w:rsidRPr="007E3EDF" w:rsidRDefault="008A7718" w:rsidP="008A7718">
            <w:pPr>
              <w:jc w:val="center"/>
              <w:rPr>
                <w:rFonts w:ascii="Arial" w:hAnsi="Arial"/>
                <w:color w:val="000000"/>
                <w:sz w:val="20"/>
              </w:rPr>
            </w:pPr>
          </w:p>
        </w:tc>
        <w:tc>
          <w:tcPr>
            <w:tcW w:w="680" w:type="pct"/>
          </w:tcPr>
          <w:p w14:paraId="6C514BDC" w14:textId="1E93DA22" w:rsidR="008A7718" w:rsidRPr="007E3EDF" w:rsidRDefault="008A7718" w:rsidP="008A7718">
            <w:pPr>
              <w:jc w:val="center"/>
              <w:rPr>
                <w:rFonts w:ascii="Arial" w:hAnsi="Arial"/>
                <w:color w:val="000000"/>
                <w:sz w:val="20"/>
              </w:rPr>
            </w:pPr>
            <w:r w:rsidRPr="005F4F6B">
              <w:rPr>
                <w:rFonts w:ascii="Arial" w:hAnsi="Arial"/>
                <w:color w:val="000000"/>
                <w:sz w:val="20"/>
              </w:rPr>
              <w:t>Ex-ante database</w:t>
            </w:r>
          </w:p>
        </w:tc>
        <w:tc>
          <w:tcPr>
            <w:tcW w:w="3201" w:type="pct"/>
            <w:shd w:val="clear" w:color="auto" w:fill="auto"/>
            <w:noWrap/>
            <w:vAlign w:val="bottom"/>
          </w:tcPr>
          <w:p w14:paraId="05D81629" w14:textId="77777777" w:rsidR="008A7718" w:rsidRPr="007E3EDF" w:rsidRDefault="008A7718" w:rsidP="008A7718">
            <w:pPr>
              <w:jc w:val="center"/>
              <w:rPr>
                <w:rFonts w:ascii="Arial" w:hAnsi="Arial"/>
                <w:color w:val="000000"/>
                <w:sz w:val="20"/>
              </w:rPr>
            </w:pPr>
            <w:r>
              <w:rPr>
                <w:rFonts w:ascii="Calibri" w:hAnsi="Calibri"/>
                <w:color w:val="000000"/>
                <w:szCs w:val="22"/>
              </w:rPr>
              <w:t>LED High/Low Bay:  &gt;=130 LPW, 82 to &lt;113 W</w:t>
            </w:r>
          </w:p>
        </w:tc>
      </w:tr>
      <w:tr w:rsidR="008A7718" w:rsidRPr="002B40BA" w14:paraId="4B166964" w14:textId="77777777" w:rsidTr="00B62AFB">
        <w:trPr>
          <w:trHeight w:val="337"/>
          <w:jc w:val="center"/>
        </w:trPr>
        <w:tc>
          <w:tcPr>
            <w:tcW w:w="559" w:type="pct"/>
            <w:shd w:val="clear" w:color="auto" w:fill="auto"/>
            <w:noWrap/>
            <w:vAlign w:val="bottom"/>
          </w:tcPr>
          <w:p w14:paraId="452754FA" w14:textId="77777777" w:rsidR="008A7718" w:rsidRPr="007E3EDF" w:rsidRDefault="008A7718" w:rsidP="008A7718">
            <w:pPr>
              <w:autoSpaceDE w:val="0"/>
              <w:autoSpaceDN w:val="0"/>
              <w:jc w:val="center"/>
              <w:rPr>
                <w:rFonts w:ascii="Arial" w:hAnsi="Arial"/>
                <w:color w:val="000000"/>
                <w:sz w:val="20"/>
              </w:rPr>
            </w:pPr>
            <w:r>
              <w:rPr>
                <w:rFonts w:ascii="Calibri" w:hAnsi="Calibri"/>
                <w:color w:val="000000"/>
                <w:szCs w:val="22"/>
              </w:rPr>
              <w:t>LT389</w:t>
            </w:r>
          </w:p>
        </w:tc>
        <w:tc>
          <w:tcPr>
            <w:tcW w:w="559" w:type="pct"/>
            <w:vAlign w:val="center"/>
          </w:tcPr>
          <w:p w14:paraId="10F3DFE7" w14:textId="77777777" w:rsidR="008A7718" w:rsidRPr="007E3EDF" w:rsidRDefault="008A7718" w:rsidP="008A7718">
            <w:pPr>
              <w:jc w:val="center"/>
              <w:rPr>
                <w:rFonts w:ascii="Arial" w:hAnsi="Arial"/>
                <w:color w:val="000000"/>
                <w:sz w:val="20"/>
              </w:rPr>
            </w:pPr>
          </w:p>
        </w:tc>
        <w:tc>
          <w:tcPr>
            <w:tcW w:w="680" w:type="pct"/>
          </w:tcPr>
          <w:p w14:paraId="76E155AA" w14:textId="2924064C" w:rsidR="008A7718" w:rsidRPr="007E3EDF" w:rsidRDefault="008A7718" w:rsidP="008A7718">
            <w:pPr>
              <w:jc w:val="center"/>
              <w:rPr>
                <w:rFonts w:ascii="Arial" w:hAnsi="Arial"/>
                <w:color w:val="000000"/>
                <w:sz w:val="20"/>
              </w:rPr>
            </w:pPr>
            <w:r w:rsidRPr="005F4F6B">
              <w:rPr>
                <w:rFonts w:ascii="Arial" w:hAnsi="Arial"/>
                <w:color w:val="000000"/>
                <w:sz w:val="20"/>
              </w:rPr>
              <w:t>Ex-ante database</w:t>
            </w:r>
          </w:p>
        </w:tc>
        <w:tc>
          <w:tcPr>
            <w:tcW w:w="3201" w:type="pct"/>
            <w:shd w:val="clear" w:color="auto" w:fill="auto"/>
            <w:noWrap/>
            <w:vAlign w:val="bottom"/>
          </w:tcPr>
          <w:p w14:paraId="3DA0562A" w14:textId="77777777" w:rsidR="008A7718" w:rsidRPr="007E3EDF" w:rsidRDefault="008A7718" w:rsidP="008A7718">
            <w:pPr>
              <w:jc w:val="center"/>
              <w:rPr>
                <w:rFonts w:ascii="Arial" w:eastAsiaTheme="minorHAnsi" w:hAnsi="Arial"/>
                <w:color w:val="000000"/>
                <w:sz w:val="20"/>
              </w:rPr>
            </w:pPr>
            <w:r>
              <w:rPr>
                <w:rFonts w:ascii="Calibri" w:hAnsi="Calibri"/>
                <w:color w:val="000000"/>
                <w:szCs w:val="22"/>
              </w:rPr>
              <w:t>LED High/Low Bay:  &gt;=130 LPW, 113 to &lt;140 W</w:t>
            </w:r>
          </w:p>
        </w:tc>
      </w:tr>
      <w:tr w:rsidR="008A7718" w:rsidRPr="002B40BA" w14:paraId="4768034A" w14:textId="77777777" w:rsidTr="00B62AFB">
        <w:trPr>
          <w:trHeight w:val="337"/>
          <w:jc w:val="center"/>
        </w:trPr>
        <w:tc>
          <w:tcPr>
            <w:tcW w:w="559" w:type="pct"/>
            <w:shd w:val="clear" w:color="auto" w:fill="auto"/>
            <w:noWrap/>
            <w:vAlign w:val="bottom"/>
          </w:tcPr>
          <w:p w14:paraId="35D5FCE4" w14:textId="77777777" w:rsidR="008A7718" w:rsidRDefault="008A7718" w:rsidP="008A7718">
            <w:pPr>
              <w:autoSpaceDE w:val="0"/>
              <w:autoSpaceDN w:val="0"/>
              <w:jc w:val="center"/>
              <w:rPr>
                <w:rFonts w:ascii="Calibri" w:hAnsi="Calibri"/>
                <w:color w:val="000000"/>
                <w:szCs w:val="22"/>
              </w:rPr>
            </w:pPr>
            <w:r>
              <w:rPr>
                <w:rFonts w:ascii="Calibri" w:hAnsi="Calibri"/>
                <w:color w:val="000000"/>
                <w:szCs w:val="22"/>
              </w:rPr>
              <w:t>LT390</w:t>
            </w:r>
          </w:p>
        </w:tc>
        <w:tc>
          <w:tcPr>
            <w:tcW w:w="559" w:type="pct"/>
            <w:vAlign w:val="center"/>
          </w:tcPr>
          <w:p w14:paraId="6D538F51" w14:textId="77777777" w:rsidR="008A7718" w:rsidRPr="007E3EDF" w:rsidRDefault="008A7718" w:rsidP="008A7718">
            <w:pPr>
              <w:jc w:val="center"/>
              <w:rPr>
                <w:rFonts w:ascii="Arial" w:hAnsi="Arial"/>
                <w:color w:val="000000"/>
                <w:sz w:val="20"/>
              </w:rPr>
            </w:pPr>
          </w:p>
        </w:tc>
        <w:tc>
          <w:tcPr>
            <w:tcW w:w="680" w:type="pct"/>
          </w:tcPr>
          <w:p w14:paraId="39AE041F" w14:textId="66125112" w:rsidR="008A7718" w:rsidRPr="007E3EDF" w:rsidRDefault="008A7718" w:rsidP="008A7718">
            <w:pPr>
              <w:jc w:val="center"/>
              <w:rPr>
                <w:rFonts w:ascii="Arial" w:hAnsi="Arial"/>
                <w:color w:val="000000"/>
                <w:sz w:val="20"/>
              </w:rPr>
            </w:pPr>
            <w:r w:rsidRPr="005F4F6B">
              <w:rPr>
                <w:rFonts w:ascii="Arial" w:hAnsi="Arial"/>
                <w:color w:val="000000"/>
                <w:sz w:val="20"/>
              </w:rPr>
              <w:t>Ex-ante database</w:t>
            </w:r>
          </w:p>
        </w:tc>
        <w:tc>
          <w:tcPr>
            <w:tcW w:w="3201" w:type="pct"/>
            <w:shd w:val="clear" w:color="auto" w:fill="auto"/>
            <w:noWrap/>
            <w:vAlign w:val="bottom"/>
          </w:tcPr>
          <w:p w14:paraId="63E0F01A" w14:textId="77777777" w:rsidR="008A7718" w:rsidRDefault="008A7718" w:rsidP="008A7718">
            <w:pPr>
              <w:jc w:val="center"/>
              <w:rPr>
                <w:rFonts w:ascii="Calibri" w:hAnsi="Calibri"/>
                <w:color w:val="000000"/>
                <w:szCs w:val="22"/>
              </w:rPr>
            </w:pPr>
            <w:r>
              <w:rPr>
                <w:rFonts w:ascii="Calibri" w:hAnsi="Calibri"/>
                <w:color w:val="000000"/>
                <w:szCs w:val="22"/>
              </w:rPr>
              <w:t>LED High/Low Bay:  &gt;=135 LPW, 140 to &lt;174 W</w:t>
            </w:r>
          </w:p>
        </w:tc>
      </w:tr>
      <w:tr w:rsidR="008A7718" w:rsidRPr="002B40BA" w14:paraId="7B93DF9A" w14:textId="77777777" w:rsidTr="00B62AFB">
        <w:trPr>
          <w:trHeight w:val="337"/>
          <w:jc w:val="center"/>
        </w:trPr>
        <w:tc>
          <w:tcPr>
            <w:tcW w:w="559" w:type="pct"/>
            <w:shd w:val="clear" w:color="auto" w:fill="auto"/>
            <w:noWrap/>
            <w:vAlign w:val="bottom"/>
          </w:tcPr>
          <w:p w14:paraId="7C5312A8" w14:textId="77777777" w:rsidR="008A7718" w:rsidRDefault="008A7718" w:rsidP="008A7718">
            <w:pPr>
              <w:autoSpaceDE w:val="0"/>
              <w:autoSpaceDN w:val="0"/>
              <w:jc w:val="center"/>
              <w:rPr>
                <w:rFonts w:ascii="Calibri" w:hAnsi="Calibri"/>
                <w:color w:val="000000"/>
                <w:szCs w:val="22"/>
              </w:rPr>
            </w:pPr>
            <w:r>
              <w:rPr>
                <w:rFonts w:ascii="Calibri" w:hAnsi="Calibri"/>
                <w:color w:val="000000"/>
                <w:szCs w:val="22"/>
              </w:rPr>
              <w:t>LT391</w:t>
            </w:r>
          </w:p>
        </w:tc>
        <w:tc>
          <w:tcPr>
            <w:tcW w:w="559" w:type="pct"/>
            <w:vAlign w:val="center"/>
          </w:tcPr>
          <w:p w14:paraId="19FFC300" w14:textId="77777777" w:rsidR="008A7718" w:rsidRPr="007E3EDF" w:rsidRDefault="008A7718" w:rsidP="008A7718">
            <w:pPr>
              <w:jc w:val="center"/>
              <w:rPr>
                <w:rFonts w:ascii="Arial" w:hAnsi="Arial"/>
                <w:color w:val="000000"/>
                <w:sz w:val="20"/>
              </w:rPr>
            </w:pPr>
          </w:p>
        </w:tc>
        <w:tc>
          <w:tcPr>
            <w:tcW w:w="680" w:type="pct"/>
          </w:tcPr>
          <w:p w14:paraId="03E8962B" w14:textId="67BD19F8" w:rsidR="008A7718" w:rsidRPr="007E3EDF" w:rsidRDefault="008A7718" w:rsidP="008A7718">
            <w:pPr>
              <w:jc w:val="center"/>
              <w:rPr>
                <w:rFonts w:ascii="Arial" w:hAnsi="Arial"/>
                <w:color w:val="000000"/>
                <w:sz w:val="20"/>
              </w:rPr>
            </w:pPr>
            <w:r w:rsidRPr="005F4F6B">
              <w:rPr>
                <w:rFonts w:ascii="Arial" w:hAnsi="Arial"/>
                <w:color w:val="000000"/>
                <w:sz w:val="20"/>
              </w:rPr>
              <w:t>Ex-ante database</w:t>
            </w:r>
          </w:p>
        </w:tc>
        <w:tc>
          <w:tcPr>
            <w:tcW w:w="3201" w:type="pct"/>
            <w:shd w:val="clear" w:color="auto" w:fill="auto"/>
            <w:noWrap/>
            <w:vAlign w:val="bottom"/>
          </w:tcPr>
          <w:p w14:paraId="0CD5A7D2" w14:textId="77777777" w:rsidR="008A7718" w:rsidRDefault="008A7718" w:rsidP="008A7718">
            <w:pPr>
              <w:jc w:val="center"/>
              <w:rPr>
                <w:rFonts w:ascii="Calibri" w:hAnsi="Calibri"/>
                <w:color w:val="000000"/>
                <w:szCs w:val="22"/>
              </w:rPr>
            </w:pPr>
            <w:r>
              <w:rPr>
                <w:rFonts w:ascii="Calibri" w:hAnsi="Calibri"/>
                <w:color w:val="000000"/>
                <w:szCs w:val="22"/>
              </w:rPr>
              <w:t>LED High/Low Bay:  &gt;=135 LPW, 174 to &lt;194 W</w:t>
            </w:r>
          </w:p>
        </w:tc>
      </w:tr>
      <w:tr w:rsidR="008A7718" w:rsidRPr="002B40BA" w14:paraId="6192F975" w14:textId="77777777" w:rsidTr="00B62AFB">
        <w:trPr>
          <w:trHeight w:val="337"/>
          <w:jc w:val="center"/>
        </w:trPr>
        <w:tc>
          <w:tcPr>
            <w:tcW w:w="559" w:type="pct"/>
            <w:shd w:val="clear" w:color="auto" w:fill="auto"/>
            <w:noWrap/>
            <w:vAlign w:val="bottom"/>
          </w:tcPr>
          <w:p w14:paraId="72F61F9D" w14:textId="77777777" w:rsidR="008A7718" w:rsidRDefault="008A7718" w:rsidP="008A7718">
            <w:pPr>
              <w:autoSpaceDE w:val="0"/>
              <w:autoSpaceDN w:val="0"/>
              <w:jc w:val="center"/>
              <w:rPr>
                <w:rFonts w:ascii="Calibri" w:hAnsi="Calibri"/>
                <w:color w:val="000000"/>
                <w:szCs w:val="22"/>
              </w:rPr>
            </w:pPr>
            <w:r>
              <w:rPr>
                <w:rFonts w:ascii="Calibri" w:hAnsi="Calibri"/>
                <w:color w:val="000000"/>
                <w:szCs w:val="22"/>
              </w:rPr>
              <w:t>LT392</w:t>
            </w:r>
          </w:p>
        </w:tc>
        <w:tc>
          <w:tcPr>
            <w:tcW w:w="559" w:type="pct"/>
            <w:vAlign w:val="center"/>
          </w:tcPr>
          <w:p w14:paraId="6727AFDC" w14:textId="77777777" w:rsidR="008A7718" w:rsidRPr="007E3EDF" w:rsidRDefault="008A7718" w:rsidP="008A7718">
            <w:pPr>
              <w:jc w:val="center"/>
              <w:rPr>
                <w:rFonts w:ascii="Arial" w:hAnsi="Arial"/>
                <w:color w:val="000000"/>
                <w:sz w:val="20"/>
              </w:rPr>
            </w:pPr>
          </w:p>
        </w:tc>
        <w:tc>
          <w:tcPr>
            <w:tcW w:w="680" w:type="pct"/>
          </w:tcPr>
          <w:p w14:paraId="7892856D" w14:textId="5C9A37A7" w:rsidR="008A7718" w:rsidRPr="007E3EDF" w:rsidRDefault="008A7718" w:rsidP="008A7718">
            <w:pPr>
              <w:jc w:val="center"/>
              <w:rPr>
                <w:rFonts w:ascii="Arial" w:hAnsi="Arial"/>
                <w:color w:val="000000"/>
                <w:sz w:val="20"/>
              </w:rPr>
            </w:pPr>
            <w:r w:rsidRPr="005F4F6B">
              <w:rPr>
                <w:rFonts w:ascii="Arial" w:hAnsi="Arial"/>
                <w:color w:val="000000"/>
                <w:sz w:val="20"/>
              </w:rPr>
              <w:t>Ex-ante database</w:t>
            </w:r>
          </w:p>
        </w:tc>
        <w:tc>
          <w:tcPr>
            <w:tcW w:w="3201" w:type="pct"/>
            <w:shd w:val="clear" w:color="auto" w:fill="auto"/>
            <w:noWrap/>
            <w:vAlign w:val="bottom"/>
          </w:tcPr>
          <w:p w14:paraId="2815A621" w14:textId="77777777" w:rsidR="008A7718" w:rsidRDefault="008A7718" w:rsidP="008A7718">
            <w:pPr>
              <w:jc w:val="center"/>
              <w:rPr>
                <w:rFonts w:ascii="Calibri" w:hAnsi="Calibri"/>
                <w:color w:val="000000"/>
                <w:szCs w:val="22"/>
              </w:rPr>
            </w:pPr>
            <w:r>
              <w:rPr>
                <w:rFonts w:ascii="Calibri" w:hAnsi="Calibri"/>
                <w:color w:val="000000"/>
                <w:szCs w:val="22"/>
              </w:rPr>
              <w:t>LED High/Low Bay:  &gt;=135 LPW, 194 to &lt;227 W</w:t>
            </w:r>
          </w:p>
        </w:tc>
      </w:tr>
      <w:tr w:rsidR="008A7718" w:rsidRPr="002B40BA" w14:paraId="6F09A6AF" w14:textId="77777777" w:rsidTr="00B62AFB">
        <w:trPr>
          <w:trHeight w:val="337"/>
          <w:jc w:val="center"/>
        </w:trPr>
        <w:tc>
          <w:tcPr>
            <w:tcW w:w="559" w:type="pct"/>
            <w:shd w:val="clear" w:color="auto" w:fill="auto"/>
            <w:noWrap/>
            <w:vAlign w:val="bottom"/>
          </w:tcPr>
          <w:p w14:paraId="5E78E38E" w14:textId="77777777" w:rsidR="008A7718" w:rsidRDefault="008A7718" w:rsidP="007F50D8">
            <w:pPr>
              <w:autoSpaceDE w:val="0"/>
              <w:autoSpaceDN w:val="0"/>
              <w:jc w:val="center"/>
              <w:rPr>
                <w:rFonts w:ascii="Calibri" w:hAnsi="Calibri"/>
                <w:color w:val="000000"/>
                <w:szCs w:val="22"/>
              </w:rPr>
            </w:pPr>
            <w:r>
              <w:rPr>
                <w:rFonts w:ascii="Calibri" w:hAnsi="Calibri"/>
                <w:color w:val="000000"/>
                <w:szCs w:val="22"/>
              </w:rPr>
              <w:t>LT393</w:t>
            </w:r>
          </w:p>
        </w:tc>
        <w:tc>
          <w:tcPr>
            <w:tcW w:w="559" w:type="pct"/>
            <w:vAlign w:val="center"/>
          </w:tcPr>
          <w:p w14:paraId="5EBEA78F" w14:textId="77777777" w:rsidR="008A7718" w:rsidRPr="007E3EDF" w:rsidRDefault="008A7718" w:rsidP="007F50D8">
            <w:pPr>
              <w:jc w:val="center"/>
              <w:rPr>
                <w:rFonts w:ascii="Arial" w:hAnsi="Arial"/>
                <w:color w:val="000000"/>
                <w:sz w:val="20"/>
              </w:rPr>
            </w:pPr>
          </w:p>
        </w:tc>
        <w:tc>
          <w:tcPr>
            <w:tcW w:w="680" w:type="pct"/>
            <w:vAlign w:val="center"/>
          </w:tcPr>
          <w:p w14:paraId="532F0525" w14:textId="49C24ED0" w:rsidR="008A7718" w:rsidRPr="007E3EDF" w:rsidRDefault="008A7718" w:rsidP="007F50D8">
            <w:pPr>
              <w:jc w:val="center"/>
              <w:rPr>
                <w:rFonts w:ascii="Arial" w:hAnsi="Arial"/>
                <w:color w:val="000000"/>
                <w:sz w:val="20"/>
              </w:rPr>
            </w:pPr>
            <w:r>
              <w:rPr>
                <w:rFonts w:ascii="Arial" w:hAnsi="Arial"/>
                <w:color w:val="000000"/>
                <w:sz w:val="20"/>
              </w:rPr>
              <w:t>Ex-ante database</w:t>
            </w:r>
          </w:p>
        </w:tc>
        <w:tc>
          <w:tcPr>
            <w:tcW w:w="3201" w:type="pct"/>
            <w:shd w:val="clear" w:color="auto" w:fill="auto"/>
            <w:noWrap/>
            <w:vAlign w:val="bottom"/>
          </w:tcPr>
          <w:p w14:paraId="4DE5415F" w14:textId="77777777" w:rsidR="008A7718" w:rsidRDefault="008A7718" w:rsidP="007F50D8">
            <w:pPr>
              <w:jc w:val="center"/>
              <w:rPr>
                <w:rFonts w:ascii="Calibri" w:hAnsi="Calibri"/>
                <w:color w:val="000000"/>
                <w:szCs w:val="22"/>
              </w:rPr>
            </w:pPr>
            <w:r>
              <w:rPr>
                <w:rFonts w:ascii="Calibri" w:hAnsi="Calibri"/>
                <w:color w:val="000000"/>
                <w:szCs w:val="22"/>
              </w:rPr>
              <w:t>LED High/Low Bay:  &gt;=135 LPW, 227 to &lt;262 W</w:t>
            </w:r>
          </w:p>
        </w:tc>
      </w:tr>
    </w:tbl>
    <w:p w14:paraId="604C8B39" w14:textId="77777777" w:rsidR="008A7718" w:rsidRPr="00437479" w:rsidRDefault="008A7718" w:rsidP="008A7718">
      <w:pPr>
        <w:jc w:val="center"/>
        <w:rPr>
          <w:rFonts w:ascii="Arial" w:hAnsi="Arial"/>
          <w:i/>
          <w:sz w:val="16"/>
        </w:rPr>
      </w:pPr>
      <w:r w:rsidRPr="00437479">
        <w:rPr>
          <w:rFonts w:ascii="Arial" w:hAnsi="Arial"/>
          <w:i/>
          <w:sz w:val="16"/>
        </w:rPr>
        <w:t xml:space="preserve">* +/-10% tolerance is applied on the minimum light output as per DLC technical </w:t>
      </w:r>
      <w:r w:rsidRPr="00437479">
        <w:rPr>
          <w:rFonts w:ascii="Arial" w:hAnsi="Arial" w:cs="Arial"/>
          <w:i/>
          <w:sz w:val="16"/>
          <w:szCs w:val="16"/>
        </w:rPr>
        <w:t>requirements</w:t>
      </w:r>
      <w:r>
        <w:rPr>
          <w:rFonts w:ascii="Arial" w:hAnsi="Arial" w:cs="Arial"/>
          <w:i/>
          <w:sz w:val="16"/>
          <w:szCs w:val="16"/>
        </w:rPr>
        <w:t xml:space="preserve"> V4.3</w:t>
      </w:r>
    </w:p>
    <w:p w14:paraId="7385E917" w14:textId="77777777" w:rsidR="008A7718" w:rsidRPr="00437479" w:rsidRDefault="008A7718" w:rsidP="008A7718">
      <w:pPr>
        <w:rPr>
          <w:rFonts w:ascii="Arial" w:hAnsi="Arial"/>
          <w:b/>
          <w:i/>
        </w:rPr>
      </w:pPr>
    </w:p>
    <w:p w14:paraId="734BF9F5" w14:textId="77777777" w:rsidR="008A7718" w:rsidRPr="00FF271D" w:rsidRDefault="008A7718" w:rsidP="008A7718">
      <w:pPr>
        <w:rPr>
          <w:rFonts w:ascii="Arial" w:hAnsi="Arial" w:cs="Arial"/>
          <w:b/>
          <w:i/>
        </w:rPr>
      </w:pPr>
      <w:r w:rsidRPr="00FF271D">
        <w:rPr>
          <w:rFonts w:ascii="Arial" w:hAnsi="Arial" w:cs="Arial"/>
          <w:b/>
          <w:i/>
        </w:rPr>
        <w:t>Program Restrictions and Guidelines</w:t>
      </w:r>
    </w:p>
    <w:p w14:paraId="44C12DB4" w14:textId="77777777" w:rsidR="008A7718" w:rsidRPr="00FF271D" w:rsidRDefault="008A7718" w:rsidP="008A7718">
      <w:pPr>
        <w:rPr>
          <w:rFonts w:ascii="Arial" w:hAnsi="Arial" w:cs="Arial"/>
          <w:sz w:val="20"/>
        </w:rPr>
      </w:pPr>
      <w:r w:rsidRPr="00FF271D">
        <w:rPr>
          <w:rFonts w:ascii="Arial" w:hAnsi="Arial" w:cs="Arial"/>
          <w:sz w:val="20"/>
        </w:rPr>
        <w:t>This work paper details the savings associated with implementation of energy efficient LED High-Bay/Low-Bay fixtures</w:t>
      </w:r>
      <w:r w:rsidRPr="00FF271D">
        <w:t xml:space="preserve"> </w:t>
      </w:r>
      <w:r w:rsidRPr="00FF271D">
        <w:rPr>
          <w:rFonts w:ascii="Arial" w:hAnsi="Arial" w:cs="Arial"/>
          <w:sz w:val="20"/>
        </w:rPr>
        <w:t>and retrofit kits. The delivery methods allowed include Downstream</w:t>
      </w:r>
      <w:r>
        <w:rPr>
          <w:rFonts w:ascii="Arial" w:hAnsi="Arial" w:cs="Arial"/>
          <w:sz w:val="20"/>
        </w:rPr>
        <w:t>, Mid</w:t>
      </w:r>
      <w:r w:rsidRPr="00FF271D">
        <w:rPr>
          <w:rFonts w:ascii="Arial" w:hAnsi="Arial" w:cs="Arial"/>
          <w:sz w:val="20"/>
        </w:rPr>
        <w:t xml:space="preserve">stream, and Direct Install Programs for non-residential customers. </w:t>
      </w:r>
    </w:p>
    <w:p w14:paraId="42033C6A" w14:textId="77777777" w:rsidR="008A7718" w:rsidRPr="00FF271D" w:rsidRDefault="008A7718" w:rsidP="008A7718">
      <w:pPr>
        <w:rPr>
          <w:rFonts w:ascii="Arial" w:hAnsi="Arial" w:cs="Arial"/>
          <w:sz w:val="20"/>
        </w:rPr>
      </w:pPr>
    </w:p>
    <w:p w14:paraId="1131892D" w14:textId="77777777" w:rsidR="008A7718" w:rsidRPr="00FF271D" w:rsidRDefault="008A7718" w:rsidP="008A7718">
      <w:pPr>
        <w:rPr>
          <w:rFonts w:ascii="Arial" w:hAnsi="Arial" w:cs="Arial"/>
          <w:sz w:val="20"/>
          <w:szCs w:val="20"/>
        </w:rPr>
      </w:pPr>
      <w:r w:rsidRPr="00FF271D">
        <w:rPr>
          <w:rFonts w:ascii="Arial" w:hAnsi="Arial" w:cs="Arial"/>
          <w:sz w:val="20"/>
          <w:szCs w:val="20"/>
        </w:rPr>
        <w:t>The LED fixture or retrofit kit must be listed in the technical requirements table (V4.</w:t>
      </w:r>
      <w:r>
        <w:rPr>
          <w:rFonts w:ascii="Arial" w:hAnsi="Arial" w:cs="Arial"/>
          <w:sz w:val="20"/>
          <w:szCs w:val="20"/>
        </w:rPr>
        <w:t>3</w:t>
      </w:r>
      <w:r w:rsidRPr="00FF271D">
        <w:rPr>
          <w:rFonts w:ascii="Arial" w:hAnsi="Arial" w:cs="Arial"/>
          <w:sz w:val="20"/>
          <w:szCs w:val="20"/>
        </w:rPr>
        <w:t>) by the Design Lights Consortium under the General Category “High Bay” and under the Primary Use Designations as follow:</w:t>
      </w:r>
      <w:r w:rsidRPr="00FF271D">
        <w:rPr>
          <w:rStyle w:val="EndnoteReference"/>
          <w:rFonts w:ascii="Arial" w:hAnsi="Arial" w:cs="Arial"/>
          <w:b/>
          <w:i/>
          <w:sz w:val="16"/>
          <w:szCs w:val="16"/>
        </w:rPr>
        <w:t xml:space="preserve"> </w:t>
      </w:r>
      <w:r w:rsidRPr="00FF271D">
        <w:rPr>
          <w:rStyle w:val="EndnoteReference"/>
          <w:rFonts w:ascii="Arial" w:hAnsi="Arial" w:cs="Arial"/>
          <w:b/>
          <w:i/>
          <w:sz w:val="16"/>
          <w:szCs w:val="16"/>
        </w:rPr>
        <w:endnoteReference w:id="1"/>
      </w:r>
      <w:r w:rsidRPr="00FF271D">
        <w:rPr>
          <w:rFonts w:ascii="Arial" w:hAnsi="Arial" w:cs="Arial"/>
          <w:b/>
          <w:sz w:val="20"/>
          <w:szCs w:val="20"/>
        </w:rPr>
        <w:t xml:space="preserve"> </w:t>
      </w:r>
    </w:p>
    <w:p w14:paraId="34682E95" w14:textId="77777777" w:rsidR="008A7718" w:rsidRPr="00FF271D" w:rsidRDefault="008A7718" w:rsidP="008A7718">
      <w:pPr>
        <w:pStyle w:val="ListParagraph"/>
        <w:numPr>
          <w:ilvl w:val="0"/>
          <w:numId w:val="17"/>
        </w:numPr>
        <w:rPr>
          <w:rFonts w:ascii="Arial" w:hAnsi="Arial" w:cs="Arial"/>
          <w:sz w:val="20"/>
          <w:szCs w:val="20"/>
        </w:rPr>
      </w:pPr>
      <w:r w:rsidRPr="00FF271D">
        <w:rPr>
          <w:rFonts w:ascii="Arial" w:hAnsi="Arial" w:cs="Arial"/>
          <w:sz w:val="20"/>
          <w:szCs w:val="20"/>
        </w:rPr>
        <w:t>High-Bay Aisle Luminaires</w:t>
      </w:r>
    </w:p>
    <w:p w14:paraId="5FDB287E" w14:textId="77777777" w:rsidR="008A7718" w:rsidRPr="00FF271D" w:rsidRDefault="008A7718" w:rsidP="008A7718">
      <w:pPr>
        <w:pStyle w:val="ListParagraph"/>
        <w:numPr>
          <w:ilvl w:val="0"/>
          <w:numId w:val="17"/>
        </w:numPr>
        <w:rPr>
          <w:rFonts w:ascii="Arial" w:hAnsi="Arial" w:cs="Arial"/>
          <w:sz w:val="20"/>
          <w:szCs w:val="20"/>
        </w:rPr>
      </w:pPr>
      <w:r w:rsidRPr="00FF271D">
        <w:rPr>
          <w:rFonts w:ascii="Arial" w:hAnsi="Arial" w:cs="Arial"/>
          <w:sz w:val="20"/>
          <w:szCs w:val="20"/>
        </w:rPr>
        <w:t>High-Bay Luminaires for Commercial and Industrial Buildings</w:t>
      </w:r>
    </w:p>
    <w:p w14:paraId="75AD6301" w14:textId="77777777" w:rsidR="008A7718" w:rsidRPr="00FF271D" w:rsidRDefault="008A7718" w:rsidP="008A7718">
      <w:pPr>
        <w:pStyle w:val="ListParagraph"/>
        <w:numPr>
          <w:ilvl w:val="0"/>
          <w:numId w:val="17"/>
        </w:numPr>
        <w:rPr>
          <w:rFonts w:ascii="Arial" w:hAnsi="Arial" w:cs="Arial"/>
          <w:sz w:val="20"/>
          <w:szCs w:val="20"/>
        </w:rPr>
      </w:pPr>
      <w:r w:rsidRPr="00FF271D">
        <w:rPr>
          <w:rFonts w:ascii="Arial" w:hAnsi="Arial" w:cs="Arial"/>
          <w:sz w:val="20"/>
          <w:szCs w:val="20"/>
        </w:rPr>
        <w:t>Low-Bay Luminaires for Commercial and Industrial Buildings</w:t>
      </w:r>
    </w:p>
    <w:p w14:paraId="17BC1986" w14:textId="77777777" w:rsidR="008A7718" w:rsidRPr="00FF271D" w:rsidRDefault="008A7718" w:rsidP="008A7718">
      <w:pPr>
        <w:pStyle w:val="ListParagraph"/>
        <w:numPr>
          <w:ilvl w:val="0"/>
          <w:numId w:val="17"/>
        </w:numPr>
        <w:rPr>
          <w:rFonts w:ascii="Arial" w:hAnsi="Arial" w:cs="Arial"/>
          <w:sz w:val="20"/>
          <w:szCs w:val="20"/>
        </w:rPr>
      </w:pPr>
      <w:r w:rsidRPr="00FF271D">
        <w:rPr>
          <w:rFonts w:ascii="Arial" w:hAnsi="Arial" w:cs="Arial"/>
          <w:sz w:val="20"/>
          <w:szCs w:val="20"/>
        </w:rPr>
        <w:t>Retrofit Kits for High-Bay Luminaires for Commercial and Industrial Buildings</w:t>
      </w:r>
    </w:p>
    <w:p w14:paraId="262BDC68" w14:textId="77777777" w:rsidR="008A7718" w:rsidRPr="00FF271D" w:rsidRDefault="008A7718" w:rsidP="008A7718">
      <w:pPr>
        <w:pStyle w:val="ListParagraph"/>
        <w:numPr>
          <w:ilvl w:val="0"/>
          <w:numId w:val="17"/>
        </w:numPr>
        <w:rPr>
          <w:rFonts w:ascii="Arial" w:hAnsi="Arial" w:cs="Arial"/>
          <w:sz w:val="20"/>
          <w:szCs w:val="20"/>
        </w:rPr>
      </w:pPr>
      <w:r w:rsidRPr="00FF271D">
        <w:rPr>
          <w:rFonts w:ascii="Arial" w:hAnsi="Arial" w:cs="Arial"/>
          <w:sz w:val="20"/>
          <w:szCs w:val="20"/>
        </w:rPr>
        <w:t>Retrofit Kits for Low-Bay Luminaires for Commercial and Industrial Buildings</w:t>
      </w:r>
    </w:p>
    <w:p w14:paraId="7BB35A7E" w14:textId="77777777" w:rsidR="008A7718" w:rsidRPr="00FF271D" w:rsidRDefault="008A7718" w:rsidP="008A7718">
      <w:pPr>
        <w:rPr>
          <w:rFonts w:ascii="Arial" w:hAnsi="Arial" w:cs="Arial"/>
          <w:sz w:val="20"/>
        </w:rPr>
      </w:pPr>
    </w:p>
    <w:p w14:paraId="2AA39660" w14:textId="77777777" w:rsidR="008A7718" w:rsidRPr="00FF271D" w:rsidRDefault="008A7718" w:rsidP="008A7718">
      <w:pPr>
        <w:rPr>
          <w:rFonts w:ascii="Arial" w:hAnsi="Arial" w:cs="Arial"/>
          <w:sz w:val="20"/>
        </w:rPr>
      </w:pPr>
      <w:r w:rsidRPr="00FF271D">
        <w:rPr>
          <w:rFonts w:ascii="Arial" w:hAnsi="Arial" w:cs="Arial"/>
          <w:sz w:val="20"/>
        </w:rPr>
        <w:t>DLC Standard requirements for the high-bay and low-bay categories include:</w:t>
      </w:r>
    </w:p>
    <w:p w14:paraId="60CCAB6D" w14:textId="77777777" w:rsidR="008A7718" w:rsidRPr="00FF271D" w:rsidRDefault="008A7718" w:rsidP="008A7718">
      <w:pPr>
        <w:pStyle w:val="ListParagraph"/>
        <w:numPr>
          <w:ilvl w:val="0"/>
          <w:numId w:val="13"/>
        </w:numPr>
        <w:rPr>
          <w:rFonts w:ascii="Arial" w:hAnsi="Arial" w:cs="Arial"/>
          <w:sz w:val="20"/>
        </w:rPr>
      </w:pPr>
      <w:r w:rsidRPr="00FF271D">
        <w:rPr>
          <w:rFonts w:ascii="Arial" w:hAnsi="Arial" w:cs="Arial"/>
          <w:sz w:val="20"/>
        </w:rPr>
        <w:t>5-year warranty</w:t>
      </w:r>
    </w:p>
    <w:p w14:paraId="26D96A89" w14:textId="77777777" w:rsidR="008A7718" w:rsidRPr="00FF271D" w:rsidRDefault="008A7718" w:rsidP="008A7718">
      <w:pPr>
        <w:pStyle w:val="ListParagraph"/>
        <w:numPr>
          <w:ilvl w:val="0"/>
          <w:numId w:val="13"/>
        </w:numPr>
        <w:rPr>
          <w:rFonts w:ascii="Arial" w:hAnsi="Arial" w:cs="Arial"/>
          <w:sz w:val="20"/>
        </w:rPr>
      </w:pPr>
      <w:r w:rsidRPr="00FF271D">
        <w:rPr>
          <w:rFonts w:ascii="Arial" w:hAnsi="Arial" w:cs="Arial"/>
          <w:sz w:val="20"/>
        </w:rPr>
        <w:t>50,000-hour L</w:t>
      </w:r>
      <w:r w:rsidRPr="00FF271D">
        <w:rPr>
          <w:rFonts w:ascii="Arial" w:hAnsi="Arial" w:cs="Arial"/>
          <w:sz w:val="20"/>
          <w:vertAlign w:val="subscript"/>
        </w:rPr>
        <w:t>70</w:t>
      </w:r>
      <w:r w:rsidRPr="00FF271D">
        <w:rPr>
          <w:rFonts w:ascii="Arial" w:hAnsi="Arial" w:cs="Arial"/>
          <w:sz w:val="20"/>
        </w:rPr>
        <w:t xml:space="preserve"> Lumen Maintenance</w:t>
      </w:r>
    </w:p>
    <w:p w14:paraId="7DD8DFDC" w14:textId="77777777" w:rsidR="008A7718" w:rsidRPr="00FF271D" w:rsidRDefault="008A7718" w:rsidP="008A7718">
      <w:pPr>
        <w:pStyle w:val="ListParagraph"/>
        <w:numPr>
          <w:ilvl w:val="0"/>
          <w:numId w:val="13"/>
        </w:numPr>
        <w:rPr>
          <w:rFonts w:ascii="Arial" w:hAnsi="Arial" w:cs="Arial"/>
          <w:sz w:val="20"/>
        </w:rPr>
      </w:pPr>
      <w:r w:rsidRPr="00FF271D">
        <w:rPr>
          <w:rFonts w:ascii="Arial" w:hAnsi="Arial" w:cs="Arial"/>
          <w:sz w:val="20"/>
        </w:rPr>
        <w:t>≥ 70 Color Rendering Index (CRI)</w:t>
      </w:r>
    </w:p>
    <w:p w14:paraId="0410EFD0" w14:textId="77777777" w:rsidR="008A7718" w:rsidRPr="00FF271D" w:rsidRDefault="008A7718" w:rsidP="008A7718">
      <w:pPr>
        <w:pStyle w:val="ListParagraph"/>
        <w:numPr>
          <w:ilvl w:val="0"/>
          <w:numId w:val="13"/>
        </w:numPr>
        <w:rPr>
          <w:rFonts w:ascii="Arial" w:hAnsi="Arial" w:cs="Arial"/>
          <w:sz w:val="20"/>
        </w:rPr>
      </w:pPr>
      <w:r w:rsidRPr="00FF271D">
        <w:rPr>
          <w:rFonts w:ascii="Arial" w:hAnsi="Arial" w:cs="Arial"/>
          <w:sz w:val="20"/>
        </w:rPr>
        <w:t>≥ 105 lumens/Watt (LPW)*</w:t>
      </w:r>
    </w:p>
    <w:p w14:paraId="18CCBFD4" w14:textId="77777777" w:rsidR="008A7718" w:rsidRPr="00FF271D" w:rsidRDefault="008A7718" w:rsidP="008A7718">
      <w:pPr>
        <w:pStyle w:val="ListParagraph"/>
        <w:numPr>
          <w:ilvl w:val="0"/>
          <w:numId w:val="13"/>
        </w:numPr>
        <w:rPr>
          <w:rFonts w:ascii="Arial" w:hAnsi="Arial" w:cs="Arial"/>
          <w:sz w:val="20"/>
        </w:rPr>
      </w:pPr>
      <w:r w:rsidRPr="00FF271D">
        <w:rPr>
          <w:rFonts w:ascii="Arial" w:hAnsi="Arial" w:cs="Arial"/>
          <w:sz w:val="20"/>
        </w:rPr>
        <w:t>≤ 5700 Kelvin Correlated Color Temperature (CCT)</w:t>
      </w:r>
    </w:p>
    <w:p w14:paraId="01E7E383" w14:textId="77777777" w:rsidR="008A7718" w:rsidRPr="00FF271D" w:rsidRDefault="008A7718" w:rsidP="008A7718">
      <w:pPr>
        <w:pStyle w:val="ListParagraph"/>
        <w:numPr>
          <w:ilvl w:val="0"/>
          <w:numId w:val="13"/>
        </w:numPr>
        <w:rPr>
          <w:rFonts w:ascii="Arial" w:hAnsi="Arial" w:cs="Arial"/>
          <w:sz w:val="20"/>
        </w:rPr>
      </w:pPr>
      <w:r w:rsidRPr="00FF271D">
        <w:rPr>
          <w:rFonts w:ascii="Arial" w:hAnsi="Arial" w:cs="Arial"/>
          <w:sz w:val="20"/>
        </w:rPr>
        <w:lastRenderedPageBreak/>
        <w:t>≥ 5,000 Lumen light output +/- 10%</w:t>
      </w:r>
    </w:p>
    <w:p w14:paraId="380FD49C" w14:textId="574B0A8D" w:rsidR="008A7718" w:rsidRPr="00DA53D7" w:rsidRDefault="008A7718" w:rsidP="008A7718">
      <w:pPr>
        <w:pStyle w:val="ListParagraph"/>
        <w:numPr>
          <w:ilvl w:val="0"/>
          <w:numId w:val="13"/>
        </w:numPr>
        <w:rPr>
          <w:rFonts w:ascii="Arial" w:hAnsi="Arial" w:cs="Arial"/>
          <w:sz w:val="20"/>
          <w:u w:val="single"/>
        </w:rPr>
      </w:pPr>
      <w:r w:rsidRPr="00FF271D">
        <w:rPr>
          <w:rFonts w:ascii="Arial" w:hAnsi="Arial" w:cs="Arial"/>
          <w:sz w:val="20"/>
        </w:rPr>
        <w:t>≥ 30% of Lumen Output in the 20° - 50° zone (higher for Aisle Lighting)</w:t>
      </w:r>
      <w:r>
        <w:rPr>
          <w:rFonts w:ascii="Arial" w:hAnsi="Arial" w:cs="Arial"/>
          <w:sz w:val="20"/>
        </w:rPr>
        <w:t xml:space="preserve">- </w:t>
      </w:r>
      <w:r w:rsidR="00DB65C3">
        <w:rPr>
          <w:rFonts w:ascii="Arial" w:hAnsi="Arial" w:cs="Arial"/>
          <w:sz w:val="20"/>
        </w:rPr>
        <w:t>Considered a s</w:t>
      </w:r>
      <w:r w:rsidRPr="00DA53D7">
        <w:rPr>
          <w:rFonts w:ascii="Arial" w:hAnsi="Arial" w:cs="Arial"/>
          <w:sz w:val="20"/>
          <w:u w:val="single"/>
        </w:rPr>
        <w:t>oft requirement</w:t>
      </w:r>
      <w:r w:rsidR="00DB65C3">
        <w:rPr>
          <w:rFonts w:ascii="Arial" w:hAnsi="Arial" w:cs="Arial"/>
          <w:sz w:val="20"/>
          <w:u w:val="single"/>
        </w:rPr>
        <w:t xml:space="preserve">, not always </w:t>
      </w:r>
      <w:r w:rsidR="00DA53D7">
        <w:rPr>
          <w:rFonts w:ascii="Arial" w:hAnsi="Arial" w:cs="Arial"/>
          <w:sz w:val="20"/>
          <w:u w:val="single"/>
        </w:rPr>
        <w:t xml:space="preserve">reported or </w:t>
      </w:r>
      <w:r w:rsidRPr="00DA53D7">
        <w:rPr>
          <w:rFonts w:ascii="Arial" w:hAnsi="Arial" w:cs="Arial"/>
          <w:sz w:val="20"/>
          <w:u w:val="single"/>
        </w:rPr>
        <w:t xml:space="preserve">listed </w:t>
      </w:r>
      <w:r w:rsidR="00DA53D7">
        <w:rPr>
          <w:rFonts w:ascii="Arial" w:hAnsi="Arial" w:cs="Arial"/>
          <w:sz w:val="20"/>
          <w:u w:val="single"/>
        </w:rPr>
        <w:t xml:space="preserve">by </w:t>
      </w:r>
      <w:r w:rsidRPr="00DA53D7">
        <w:rPr>
          <w:rFonts w:ascii="Arial" w:hAnsi="Arial" w:cs="Arial"/>
          <w:sz w:val="20"/>
          <w:u w:val="single"/>
        </w:rPr>
        <w:t>DLC Qualified</w:t>
      </w:r>
      <w:r w:rsidR="00DA53D7" w:rsidRPr="00DA53D7">
        <w:rPr>
          <w:rFonts w:ascii="Arial" w:hAnsi="Arial" w:cs="Arial"/>
          <w:sz w:val="20"/>
          <w:u w:val="single"/>
        </w:rPr>
        <w:t xml:space="preserve"> Products List</w:t>
      </w:r>
    </w:p>
    <w:p w14:paraId="525C2B1B" w14:textId="77777777" w:rsidR="008A7718" w:rsidRPr="00FF271D" w:rsidRDefault="008A7718" w:rsidP="008A7718"/>
    <w:p w14:paraId="34EE91C3" w14:textId="77777777" w:rsidR="008A7718" w:rsidRPr="00FF271D" w:rsidRDefault="008A7718" w:rsidP="008A7718">
      <w:pPr>
        <w:rPr>
          <w:rFonts w:ascii="Arial" w:hAnsi="Arial" w:cs="Arial"/>
          <w:sz w:val="20"/>
        </w:rPr>
      </w:pPr>
      <w:r w:rsidRPr="00FF271D">
        <w:rPr>
          <w:rFonts w:ascii="Arial" w:hAnsi="Arial" w:cs="Arial"/>
          <w:sz w:val="20"/>
        </w:rPr>
        <w:t>DLC Premium requirements for the high-bay and low-bay categories include:</w:t>
      </w:r>
    </w:p>
    <w:p w14:paraId="3F5AAF58" w14:textId="77777777" w:rsidR="008A7718" w:rsidRPr="00FF271D" w:rsidRDefault="008A7718" w:rsidP="008A7718">
      <w:pPr>
        <w:pStyle w:val="ListParagraph"/>
        <w:numPr>
          <w:ilvl w:val="0"/>
          <w:numId w:val="13"/>
        </w:numPr>
        <w:rPr>
          <w:rFonts w:ascii="Arial" w:hAnsi="Arial" w:cs="Arial"/>
          <w:sz w:val="20"/>
        </w:rPr>
      </w:pPr>
      <w:r w:rsidRPr="00FF271D">
        <w:rPr>
          <w:rFonts w:ascii="Arial" w:hAnsi="Arial" w:cs="Arial"/>
          <w:sz w:val="20"/>
        </w:rPr>
        <w:t>5-year warranty</w:t>
      </w:r>
    </w:p>
    <w:p w14:paraId="1505A414" w14:textId="77777777" w:rsidR="008A7718" w:rsidRPr="00FF271D" w:rsidRDefault="008A7718" w:rsidP="008A7718">
      <w:pPr>
        <w:pStyle w:val="ListParagraph"/>
        <w:numPr>
          <w:ilvl w:val="0"/>
          <w:numId w:val="13"/>
        </w:numPr>
        <w:rPr>
          <w:rFonts w:ascii="Arial" w:hAnsi="Arial" w:cs="Arial"/>
          <w:sz w:val="20"/>
        </w:rPr>
      </w:pPr>
      <w:r w:rsidRPr="00FF271D">
        <w:rPr>
          <w:rFonts w:ascii="Arial" w:hAnsi="Arial" w:cs="Arial"/>
          <w:sz w:val="20"/>
        </w:rPr>
        <w:t>36,000/50,000-hour L</w:t>
      </w:r>
      <w:r w:rsidRPr="00FF271D">
        <w:rPr>
          <w:rFonts w:ascii="Arial" w:hAnsi="Arial" w:cs="Arial"/>
          <w:sz w:val="20"/>
          <w:vertAlign w:val="subscript"/>
        </w:rPr>
        <w:t>90</w:t>
      </w:r>
      <w:r w:rsidRPr="00FF271D">
        <w:rPr>
          <w:rFonts w:ascii="Arial" w:hAnsi="Arial" w:cs="Arial"/>
          <w:sz w:val="20"/>
        </w:rPr>
        <w:t>/L</w:t>
      </w:r>
      <w:r w:rsidRPr="00FF271D">
        <w:rPr>
          <w:rFonts w:ascii="Arial" w:hAnsi="Arial" w:cs="Arial"/>
          <w:sz w:val="20"/>
          <w:vertAlign w:val="subscript"/>
        </w:rPr>
        <w:t>70</w:t>
      </w:r>
      <w:r w:rsidRPr="00FF271D">
        <w:rPr>
          <w:rFonts w:ascii="Arial" w:hAnsi="Arial" w:cs="Arial"/>
          <w:sz w:val="20"/>
        </w:rPr>
        <w:t xml:space="preserve"> Lumen Maintenance</w:t>
      </w:r>
    </w:p>
    <w:p w14:paraId="14745654" w14:textId="77777777" w:rsidR="008A7718" w:rsidRPr="00FF271D" w:rsidRDefault="008A7718" w:rsidP="008A7718">
      <w:pPr>
        <w:pStyle w:val="ListParagraph"/>
        <w:numPr>
          <w:ilvl w:val="0"/>
          <w:numId w:val="13"/>
        </w:numPr>
        <w:rPr>
          <w:rFonts w:ascii="Arial" w:hAnsi="Arial" w:cs="Arial"/>
          <w:sz w:val="20"/>
        </w:rPr>
      </w:pPr>
      <w:r w:rsidRPr="00FF271D">
        <w:rPr>
          <w:rFonts w:ascii="Arial" w:hAnsi="Arial" w:cs="Arial"/>
          <w:sz w:val="20"/>
        </w:rPr>
        <w:t>≥ 70 Color Rendering Index (CRI)</w:t>
      </w:r>
    </w:p>
    <w:p w14:paraId="4E209DCC" w14:textId="77777777" w:rsidR="008A7718" w:rsidRPr="00FF271D" w:rsidRDefault="008A7718" w:rsidP="008A7718">
      <w:pPr>
        <w:pStyle w:val="ListParagraph"/>
        <w:numPr>
          <w:ilvl w:val="0"/>
          <w:numId w:val="13"/>
        </w:numPr>
        <w:rPr>
          <w:rFonts w:ascii="Arial" w:hAnsi="Arial" w:cs="Arial"/>
          <w:sz w:val="20"/>
        </w:rPr>
      </w:pPr>
      <w:r w:rsidRPr="00FF271D">
        <w:rPr>
          <w:rFonts w:ascii="Arial" w:hAnsi="Arial" w:cs="Arial"/>
          <w:sz w:val="20"/>
        </w:rPr>
        <w:t>≥ 130 Lumens/Watt (LPW)*</w:t>
      </w:r>
    </w:p>
    <w:p w14:paraId="5452674F" w14:textId="77777777" w:rsidR="008A7718" w:rsidRPr="00FF271D" w:rsidRDefault="008A7718" w:rsidP="008A7718">
      <w:pPr>
        <w:pStyle w:val="ListParagraph"/>
        <w:numPr>
          <w:ilvl w:val="0"/>
          <w:numId w:val="13"/>
        </w:numPr>
        <w:rPr>
          <w:rFonts w:ascii="Arial" w:hAnsi="Arial" w:cs="Arial"/>
          <w:sz w:val="20"/>
        </w:rPr>
      </w:pPr>
      <w:r w:rsidRPr="00FF271D">
        <w:rPr>
          <w:rFonts w:ascii="Arial" w:hAnsi="Arial" w:cs="Arial"/>
          <w:sz w:val="20"/>
        </w:rPr>
        <w:t>≤ 5700 Kelvin Correlated Color Temperature (CCT)</w:t>
      </w:r>
    </w:p>
    <w:p w14:paraId="7852377C" w14:textId="77777777" w:rsidR="008A7718" w:rsidRPr="00FF271D" w:rsidRDefault="008A7718" w:rsidP="008A7718">
      <w:pPr>
        <w:pStyle w:val="ListParagraph"/>
        <w:numPr>
          <w:ilvl w:val="0"/>
          <w:numId w:val="13"/>
        </w:numPr>
        <w:rPr>
          <w:rFonts w:ascii="Arial" w:hAnsi="Arial" w:cs="Arial"/>
          <w:sz w:val="20"/>
        </w:rPr>
      </w:pPr>
      <w:r w:rsidRPr="00FF271D">
        <w:rPr>
          <w:rFonts w:ascii="Arial" w:hAnsi="Arial" w:cs="Arial"/>
          <w:sz w:val="20"/>
        </w:rPr>
        <w:t>≥ 5,000 Lumen light output +/- 10%</w:t>
      </w:r>
    </w:p>
    <w:p w14:paraId="587D3901" w14:textId="3AC9C16A" w:rsidR="00DA53D7" w:rsidRPr="00DA53D7" w:rsidRDefault="008A7718" w:rsidP="00DA53D7">
      <w:pPr>
        <w:pStyle w:val="ListParagraph"/>
        <w:numPr>
          <w:ilvl w:val="0"/>
          <w:numId w:val="13"/>
        </w:numPr>
        <w:rPr>
          <w:rFonts w:ascii="Arial" w:hAnsi="Arial" w:cs="Arial"/>
          <w:sz w:val="20"/>
          <w:u w:val="single"/>
        </w:rPr>
      </w:pPr>
      <w:r w:rsidRPr="00FF271D">
        <w:rPr>
          <w:rFonts w:ascii="Arial" w:hAnsi="Arial" w:cs="Arial"/>
          <w:sz w:val="20"/>
        </w:rPr>
        <w:t>≥ 30% of Lumen Output in the 20° - 50° zone (higher for Aisle Lighting)</w:t>
      </w:r>
      <w:r w:rsidR="00DA53D7" w:rsidRPr="00DA53D7">
        <w:rPr>
          <w:rFonts w:ascii="Arial" w:hAnsi="Arial" w:cs="Arial"/>
          <w:sz w:val="20"/>
          <w:u w:val="single"/>
        </w:rPr>
        <w:t xml:space="preserve"> </w:t>
      </w:r>
      <w:r w:rsidR="00DB65C3">
        <w:rPr>
          <w:rFonts w:ascii="Arial" w:hAnsi="Arial" w:cs="Arial"/>
          <w:sz w:val="20"/>
          <w:u w:val="single"/>
        </w:rPr>
        <w:t>–</w:t>
      </w:r>
      <w:r w:rsidR="00DA53D7">
        <w:rPr>
          <w:rFonts w:ascii="Arial" w:hAnsi="Arial" w:cs="Arial"/>
          <w:sz w:val="20"/>
          <w:u w:val="single"/>
        </w:rPr>
        <w:t xml:space="preserve"> </w:t>
      </w:r>
      <w:r w:rsidR="00DB65C3">
        <w:rPr>
          <w:rFonts w:ascii="Arial" w:hAnsi="Arial" w:cs="Arial"/>
          <w:sz w:val="20"/>
          <w:u w:val="single"/>
        </w:rPr>
        <w:t>Considered a s</w:t>
      </w:r>
      <w:r w:rsidR="00DA53D7" w:rsidRPr="00DA53D7">
        <w:rPr>
          <w:rFonts w:ascii="Arial" w:hAnsi="Arial" w:cs="Arial"/>
          <w:sz w:val="20"/>
          <w:u w:val="single"/>
        </w:rPr>
        <w:t>oft requirement</w:t>
      </w:r>
      <w:r w:rsidR="00DB65C3">
        <w:rPr>
          <w:rFonts w:ascii="Arial" w:hAnsi="Arial" w:cs="Arial"/>
          <w:sz w:val="20"/>
          <w:u w:val="single"/>
        </w:rPr>
        <w:t>, not always repo</w:t>
      </w:r>
      <w:r w:rsidR="00DA53D7">
        <w:rPr>
          <w:rFonts w:ascii="Arial" w:hAnsi="Arial" w:cs="Arial"/>
          <w:sz w:val="20"/>
          <w:u w:val="single"/>
        </w:rPr>
        <w:t xml:space="preserve">rted or </w:t>
      </w:r>
      <w:r w:rsidR="00DA53D7" w:rsidRPr="00DA53D7">
        <w:rPr>
          <w:rFonts w:ascii="Arial" w:hAnsi="Arial" w:cs="Arial"/>
          <w:sz w:val="20"/>
          <w:u w:val="single"/>
        </w:rPr>
        <w:t xml:space="preserve">listed </w:t>
      </w:r>
      <w:r w:rsidR="00DA53D7">
        <w:rPr>
          <w:rFonts w:ascii="Arial" w:hAnsi="Arial" w:cs="Arial"/>
          <w:sz w:val="20"/>
          <w:u w:val="single"/>
        </w:rPr>
        <w:t xml:space="preserve">by </w:t>
      </w:r>
      <w:r w:rsidR="00DA53D7" w:rsidRPr="00DA53D7">
        <w:rPr>
          <w:rFonts w:ascii="Arial" w:hAnsi="Arial" w:cs="Arial"/>
          <w:sz w:val="20"/>
          <w:u w:val="single"/>
        </w:rPr>
        <w:t>DLC Qualified Products List</w:t>
      </w:r>
    </w:p>
    <w:p w14:paraId="05277E92" w14:textId="77777777" w:rsidR="008A7718" w:rsidRPr="00FF271D" w:rsidRDefault="008A7718" w:rsidP="008A7718">
      <w:pPr>
        <w:pStyle w:val="ListParagraph"/>
        <w:numPr>
          <w:ilvl w:val="0"/>
          <w:numId w:val="13"/>
        </w:numPr>
        <w:rPr>
          <w:rFonts w:ascii="Arial" w:hAnsi="Arial" w:cs="Arial"/>
          <w:sz w:val="20"/>
        </w:rPr>
      </w:pPr>
    </w:p>
    <w:p w14:paraId="572F5784" w14:textId="77777777" w:rsidR="008A7718" w:rsidRPr="00FF271D" w:rsidRDefault="008A7718" w:rsidP="008A7718">
      <w:pPr>
        <w:rPr>
          <w:rFonts w:ascii="Arial" w:hAnsi="Arial" w:cs="Arial"/>
          <w:sz w:val="20"/>
        </w:rPr>
      </w:pPr>
      <w:r w:rsidRPr="00FF271D">
        <w:rPr>
          <w:rFonts w:ascii="Arial" w:hAnsi="Arial" w:cs="Arial"/>
          <w:sz w:val="20"/>
        </w:rPr>
        <w:t>*Specific measure case efficacy requirements listed in measure code descriptions in Table 1.</w:t>
      </w:r>
    </w:p>
    <w:p w14:paraId="4E3D50CC" w14:textId="77777777" w:rsidR="008A7718" w:rsidRPr="002B40BA" w:rsidRDefault="008A7718" w:rsidP="008A7718">
      <w:pPr>
        <w:rPr>
          <w:rFonts w:ascii="Arial" w:hAnsi="Arial" w:cs="Arial"/>
          <w:sz w:val="20"/>
          <w:highlight w:val="yellow"/>
        </w:rPr>
      </w:pPr>
    </w:p>
    <w:p w14:paraId="215186E4" w14:textId="77777777" w:rsidR="008A7718" w:rsidRPr="002B40BA" w:rsidRDefault="008A7718" w:rsidP="008A7718">
      <w:pPr>
        <w:ind w:left="360"/>
        <w:rPr>
          <w:rFonts w:ascii="Arial" w:hAnsi="Arial" w:cs="Arial"/>
          <w:b/>
          <w:sz w:val="20"/>
        </w:rPr>
      </w:pPr>
      <w:r w:rsidRPr="002B40BA">
        <w:rPr>
          <w:rFonts w:ascii="Arial" w:hAnsi="Arial" w:cs="Arial"/>
          <w:b/>
          <w:sz w:val="20"/>
        </w:rPr>
        <w:t xml:space="preserve">Terms and Conditions: </w:t>
      </w:r>
    </w:p>
    <w:p w14:paraId="4FB09811" w14:textId="62C73923" w:rsidR="008A7718" w:rsidRPr="002B40BA" w:rsidRDefault="008A7718" w:rsidP="008A7718">
      <w:pPr>
        <w:ind w:left="360"/>
        <w:rPr>
          <w:rFonts w:ascii="Arial" w:hAnsi="Arial" w:cs="Arial"/>
          <w:sz w:val="20"/>
        </w:rPr>
      </w:pPr>
      <w:r w:rsidRPr="002B40BA">
        <w:rPr>
          <w:rFonts w:ascii="Arial" w:hAnsi="Arial" w:cs="Arial"/>
          <w:sz w:val="20"/>
        </w:rPr>
        <w:t xml:space="preserve">The customer must be a non-residential </w:t>
      </w:r>
      <w:r w:rsidR="00DA53D7">
        <w:rPr>
          <w:rFonts w:ascii="Arial" w:hAnsi="Arial" w:cs="Arial"/>
          <w:sz w:val="20"/>
        </w:rPr>
        <w:t xml:space="preserve">SDG&amp;E </w:t>
      </w:r>
      <w:r w:rsidRPr="002B40BA">
        <w:rPr>
          <w:rFonts w:ascii="Arial" w:hAnsi="Arial" w:cs="Arial"/>
          <w:sz w:val="20"/>
        </w:rPr>
        <w:t xml:space="preserve">electric customer. </w:t>
      </w:r>
    </w:p>
    <w:p w14:paraId="44C6A9B4" w14:textId="77777777" w:rsidR="008A7718" w:rsidRPr="002B40BA" w:rsidRDefault="008A7718" w:rsidP="008A7718">
      <w:pPr>
        <w:ind w:left="360"/>
        <w:rPr>
          <w:rFonts w:ascii="Arial" w:hAnsi="Arial" w:cs="Arial"/>
          <w:sz w:val="20"/>
        </w:rPr>
      </w:pPr>
    </w:p>
    <w:p w14:paraId="14693CF4" w14:textId="77777777" w:rsidR="008A7718" w:rsidRPr="002B40BA" w:rsidRDefault="008A7718" w:rsidP="008A7718">
      <w:pPr>
        <w:ind w:left="360"/>
        <w:rPr>
          <w:rFonts w:ascii="Arial" w:hAnsi="Arial" w:cs="Arial"/>
          <w:b/>
          <w:sz w:val="20"/>
        </w:rPr>
      </w:pPr>
      <w:r w:rsidRPr="002B40BA">
        <w:rPr>
          <w:rFonts w:ascii="Arial" w:hAnsi="Arial" w:cs="Arial"/>
          <w:b/>
          <w:sz w:val="20"/>
        </w:rPr>
        <w:t xml:space="preserve">Market Applicability: </w:t>
      </w:r>
    </w:p>
    <w:p w14:paraId="245418F6" w14:textId="56CBA7A3" w:rsidR="008A7718" w:rsidRPr="002B40BA" w:rsidRDefault="008A7718" w:rsidP="008A7718">
      <w:pPr>
        <w:ind w:left="360"/>
        <w:rPr>
          <w:rFonts w:ascii="Arial" w:hAnsi="Arial" w:cs="Arial"/>
          <w:sz w:val="20"/>
        </w:rPr>
      </w:pPr>
      <w:r w:rsidRPr="002B40BA">
        <w:rPr>
          <w:rFonts w:ascii="Arial" w:hAnsi="Arial" w:cs="Arial"/>
          <w:sz w:val="20"/>
        </w:rPr>
        <w:t xml:space="preserve">The customer must be a non-residential </w:t>
      </w:r>
      <w:r w:rsidR="00DA53D7">
        <w:rPr>
          <w:rFonts w:ascii="Arial" w:hAnsi="Arial" w:cs="Arial"/>
          <w:sz w:val="20"/>
        </w:rPr>
        <w:t>SD</w:t>
      </w:r>
      <w:r w:rsidRPr="002B40BA">
        <w:rPr>
          <w:rFonts w:ascii="Arial" w:hAnsi="Arial" w:cs="Arial"/>
          <w:sz w:val="20"/>
        </w:rPr>
        <w:t>G&amp;E electric customer.</w:t>
      </w:r>
    </w:p>
    <w:p w14:paraId="494E514F" w14:textId="77777777" w:rsidR="008A7718" w:rsidRPr="002B40BA" w:rsidRDefault="008A7718" w:rsidP="008A7718">
      <w:pPr>
        <w:ind w:left="360"/>
        <w:rPr>
          <w:rFonts w:ascii="Arial" w:hAnsi="Arial" w:cs="Arial"/>
          <w:sz w:val="20"/>
        </w:rPr>
      </w:pPr>
    </w:p>
    <w:p w14:paraId="2789E1B6" w14:textId="77777777" w:rsidR="008A7718" w:rsidRDefault="008A7718" w:rsidP="00413EF4"/>
    <w:p w14:paraId="409A27C7" w14:textId="77777777" w:rsidR="00DA53D7" w:rsidRDefault="00DA53D7" w:rsidP="00DA53D7">
      <w:pPr>
        <w:pStyle w:val="Heading2"/>
      </w:pPr>
      <w:r>
        <w:t xml:space="preserve">As cited by PGE workpaper (PGECOLTG178 R3 High-Bay and Low-Bay Fixtures) </w:t>
      </w:r>
    </w:p>
    <w:p w14:paraId="1905BD1C" w14:textId="703F1F21" w:rsidR="00DA53D7" w:rsidRPr="00C10056" w:rsidRDefault="00DA53D7" w:rsidP="00DA53D7">
      <w:pPr>
        <w:pStyle w:val="Heading2"/>
      </w:pPr>
      <w:r w:rsidRPr="00C10056">
        <w:t>Technical Description</w:t>
      </w:r>
    </w:p>
    <w:p w14:paraId="0C349266" w14:textId="77777777" w:rsidR="00DA53D7" w:rsidRDefault="00DA53D7" w:rsidP="00DA53D7">
      <w:pPr>
        <w:autoSpaceDE w:val="0"/>
        <w:autoSpaceDN w:val="0"/>
        <w:rPr>
          <w:rFonts w:ascii="Arial" w:hAnsi="Arial" w:cs="Arial"/>
          <w:sz w:val="20"/>
          <w:szCs w:val="20"/>
        </w:rPr>
      </w:pPr>
      <w:r>
        <w:rPr>
          <w:rFonts w:ascii="Arial" w:hAnsi="Arial" w:cs="Arial"/>
          <w:sz w:val="20"/>
          <w:szCs w:val="20"/>
        </w:rPr>
        <w:t>The following is a short excerpt from the CALiPER Snapshot for Industrial Luminaires</w:t>
      </w:r>
      <w:bookmarkStart w:id="6" w:name="_Ref511241687"/>
      <w:r>
        <w:rPr>
          <w:rStyle w:val="EndnoteReference"/>
          <w:rFonts w:ascii="Arial" w:hAnsi="Arial" w:cs="Arial"/>
          <w:sz w:val="20"/>
          <w:szCs w:val="20"/>
        </w:rPr>
        <w:endnoteReference w:id="2"/>
      </w:r>
      <w:bookmarkEnd w:id="6"/>
      <w:r>
        <w:rPr>
          <w:rFonts w:ascii="Arial" w:hAnsi="Arial" w:cs="Arial"/>
          <w:sz w:val="20"/>
          <w:szCs w:val="20"/>
        </w:rPr>
        <w:t xml:space="preserve"> that gives a high-level overview:</w:t>
      </w:r>
    </w:p>
    <w:p w14:paraId="57E10182" w14:textId="77777777" w:rsidR="00DA53D7" w:rsidRDefault="00DA53D7" w:rsidP="00DA53D7">
      <w:pPr>
        <w:autoSpaceDE w:val="0"/>
        <w:autoSpaceDN w:val="0"/>
        <w:rPr>
          <w:rFonts w:ascii="Arial" w:hAnsi="Arial" w:cs="Arial"/>
          <w:sz w:val="20"/>
          <w:szCs w:val="20"/>
        </w:rPr>
      </w:pPr>
    </w:p>
    <w:p w14:paraId="6E03C9BE" w14:textId="77777777" w:rsidR="00DA53D7" w:rsidRDefault="00DA53D7" w:rsidP="00DA53D7">
      <w:pPr>
        <w:autoSpaceDE w:val="0"/>
        <w:autoSpaceDN w:val="0"/>
        <w:ind w:left="720" w:right="1170"/>
        <w:jc w:val="both"/>
        <w:rPr>
          <w:rFonts w:ascii="Arial" w:hAnsi="Arial" w:cs="Arial"/>
          <w:i/>
          <w:iCs/>
          <w:sz w:val="20"/>
          <w:szCs w:val="20"/>
        </w:rPr>
      </w:pPr>
      <w:r>
        <w:rPr>
          <w:rFonts w:ascii="Arial" w:hAnsi="Arial" w:cs="Arial"/>
          <w:i/>
          <w:iCs/>
          <w:sz w:val="20"/>
          <w:szCs w:val="20"/>
        </w:rPr>
        <w:t>“Industrial” luminaires are prevalent in both the commercial and industrial sectors, providing economical ambient lighting in large, open indoor spaces such as warehouses, manufacturing facilities, and big-box retail stores.  Industrial luminaires are divided into two categories: low-bay and high-bay. Typically, low-bay fixtures are used for heights up to 20 feet, whereas high-bay fixtures are used where ceilings exceed 20 feet. Given the space demands, high-lumen-output luminaires are required, with low-bay options typically emitting between 5,000 and 20,000 lumens per fixture and high-bay options emitting between 15,000 and 100,000 lumens per fixture.</w:t>
      </w:r>
    </w:p>
    <w:p w14:paraId="225F5EFC" w14:textId="77777777" w:rsidR="00DA53D7" w:rsidRDefault="00DA53D7" w:rsidP="00DA53D7">
      <w:pPr>
        <w:autoSpaceDE w:val="0"/>
        <w:autoSpaceDN w:val="0"/>
        <w:rPr>
          <w:rFonts w:ascii="Arial" w:hAnsi="Arial" w:cs="Arial"/>
          <w:sz w:val="20"/>
          <w:szCs w:val="20"/>
        </w:rPr>
      </w:pPr>
    </w:p>
    <w:p w14:paraId="3FCB9ED2" w14:textId="77777777" w:rsidR="00DA53D7" w:rsidRDefault="00DA53D7" w:rsidP="00DA53D7">
      <w:pPr>
        <w:autoSpaceDE w:val="0"/>
        <w:autoSpaceDN w:val="0"/>
        <w:rPr>
          <w:rFonts w:ascii="Arial" w:hAnsi="Arial" w:cs="Arial"/>
          <w:sz w:val="20"/>
          <w:szCs w:val="20"/>
        </w:rPr>
      </w:pPr>
      <w:r>
        <w:rPr>
          <w:rFonts w:ascii="Arial" w:hAnsi="Arial" w:cs="Arial"/>
          <w:sz w:val="20"/>
          <w:szCs w:val="20"/>
        </w:rPr>
        <w:t>Historically, high-bay fixtures have used high-intensity discharge (HID) lamps (e.g., metal halide and high-pressure sodium) as the predominant light source, and low-bay fixtures have traditionally used both HID and fluorescent light source. Linear fluorescent high-output systems (e.g. T5/HO or F32T8 with VHLO ballasts) became a popular energy-efficiency measure in the early 2000’s for both high and low bay fixtures due to their superior lumen maintenance, lack of restrike delay, and ability to switch with occupancy sensors.</w:t>
      </w:r>
    </w:p>
    <w:p w14:paraId="0198BDC0" w14:textId="77777777" w:rsidR="00DA53D7" w:rsidRDefault="00DA53D7" w:rsidP="00DA53D7">
      <w:pPr>
        <w:autoSpaceDE w:val="0"/>
        <w:autoSpaceDN w:val="0"/>
        <w:rPr>
          <w:rFonts w:ascii="Arial" w:hAnsi="Arial" w:cs="Arial"/>
          <w:sz w:val="20"/>
          <w:szCs w:val="20"/>
        </w:rPr>
      </w:pPr>
    </w:p>
    <w:p w14:paraId="5BB431F6" w14:textId="77777777" w:rsidR="00DA53D7" w:rsidRDefault="00DA53D7" w:rsidP="00DA53D7">
      <w:pPr>
        <w:autoSpaceDE w:val="0"/>
        <w:autoSpaceDN w:val="0"/>
        <w:rPr>
          <w:rFonts w:ascii="Arial" w:hAnsi="Arial" w:cs="Arial"/>
          <w:sz w:val="20"/>
          <w:szCs w:val="20"/>
        </w:rPr>
      </w:pPr>
      <w:r>
        <w:rPr>
          <w:rFonts w:ascii="Arial" w:hAnsi="Arial" w:cs="Arial"/>
          <w:sz w:val="20"/>
          <w:szCs w:val="20"/>
        </w:rPr>
        <w:t xml:space="preserve">Light emitting diodes (LEDs) first entered this market circa 2009 but early-generation LED high-bay luminaires lacked the lumen output to compete in the market.  LEDs have since improved significantly making them an efficient and reliable lighting technology successfully replacing many lighting sources. Improvements in LED performance, makes LED an ideal replacement of HID and fluorescent light fixtures. </w:t>
      </w:r>
    </w:p>
    <w:p w14:paraId="2AED8196" w14:textId="77777777" w:rsidR="00DA53D7" w:rsidRDefault="00DA53D7" w:rsidP="00DA53D7">
      <w:pPr>
        <w:autoSpaceDE w:val="0"/>
        <w:autoSpaceDN w:val="0"/>
        <w:rPr>
          <w:rFonts w:ascii="Arial" w:hAnsi="Arial" w:cs="Arial"/>
          <w:sz w:val="20"/>
          <w:szCs w:val="20"/>
        </w:rPr>
      </w:pPr>
    </w:p>
    <w:p w14:paraId="749126EA" w14:textId="77777777" w:rsidR="00DA53D7" w:rsidRDefault="00DA53D7" w:rsidP="00DA53D7">
      <w:pPr>
        <w:autoSpaceDE w:val="0"/>
        <w:autoSpaceDN w:val="0"/>
        <w:rPr>
          <w:rFonts w:ascii="Arial" w:hAnsi="Arial" w:cs="Arial"/>
          <w:sz w:val="20"/>
          <w:szCs w:val="20"/>
        </w:rPr>
      </w:pPr>
      <w:r>
        <w:rPr>
          <w:rFonts w:ascii="Arial" w:hAnsi="Arial" w:cs="Arial"/>
          <w:sz w:val="20"/>
          <w:szCs w:val="20"/>
        </w:rPr>
        <w:t>Though only 6% of all industrial luminaire installations were LED in 2015, market penetration is expected to grow to 86% by 2035</w:t>
      </w:r>
      <w:r w:rsidRPr="007B0C19">
        <w:rPr>
          <w:rFonts w:ascii="Arial" w:hAnsi="Arial" w:cs="Arial"/>
          <w:sz w:val="20"/>
          <w:szCs w:val="20"/>
          <w:vertAlign w:val="superscript"/>
        </w:rPr>
        <w:fldChar w:fldCharType="begin"/>
      </w:r>
      <w:r w:rsidRPr="007B0C19">
        <w:rPr>
          <w:rFonts w:ascii="Arial" w:hAnsi="Arial" w:cs="Arial"/>
          <w:sz w:val="20"/>
          <w:szCs w:val="20"/>
          <w:vertAlign w:val="superscript"/>
        </w:rPr>
        <w:instrText xml:space="preserve"> NOTEREF _Ref511241687 \h </w:instrText>
      </w:r>
      <w:r>
        <w:rPr>
          <w:rFonts w:ascii="Arial" w:hAnsi="Arial" w:cs="Arial"/>
          <w:sz w:val="20"/>
          <w:szCs w:val="20"/>
          <w:vertAlign w:val="superscript"/>
        </w:rPr>
        <w:instrText xml:space="preserve"> \* MERGEFORMAT </w:instrText>
      </w:r>
      <w:r w:rsidRPr="007B0C19">
        <w:rPr>
          <w:rFonts w:ascii="Arial" w:hAnsi="Arial" w:cs="Arial"/>
          <w:sz w:val="20"/>
          <w:szCs w:val="20"/>
          <w:vertAlign w:val="superscript"/>
        </w:rPr>
      </w:r>
      <w:r w:rsidRPr="007B0C19">
        <w:rPr>
          <w:rFonts w:ascii="Arial" w:hAnsi="Arial" w:cs="Arial"/>
          <w:sz w:val="20"/>
          <w:szCs w:val="20"/>
          <w:vertAlign w:val="superscript"/>
        </w:rPr>
        <w:fldChar w:fldCharType="separate"/>
      </w:r>
      <w:r w:rsidRPr="007B0C19">
        <w:rPr>
          <w:rFonts w:ascii="Arial" w:hAnsi="Arial" w:cs="Arial"/>
          <w:sz w:val="20"/>
          <w:szCs w:val="20"/>
          <w:vertAlign w:val="superscript"/>
        </w:rPr>
        <w:t>3</w:t>
      </w:r>
      <w:r w:rsidRPr="007B0C19">
        <w:rPr>
          <w:rFonts w:ascii="Arial" w:hAnsi="Arial" w:cs="Arial"/>
          <w:sz w:val="20"/>
          <w:szCs w:val="20"/>
          <w:vertAlign w:val="superscript"/>
        </w:rPr>
        <w:fldChar w:fldCharType="end"/>
      </w:r>
      <w:r>
        <w:rPr>
          <w:rFonts w:ascii="Arial" w:hAnsi="Arial" w:cs="Arial"/>
          <w:sz w:val="20"/>
          <w:szCs w:val="20"/>
        </w:rPr>
        <w:t>. According to LED Lighting Facts, by 2014 LED efficacy had surpassed the HID and fluorescent technology with very competitive pricing.  LED Lighting Facts currently lists more than 8,000 industrial products, “41% of which emit between 5,000 and 15,000 lumens and 55% of which emit more than 15,000 lumens.” About “168 LED retrofit kits for these applications are currently listed with Lighting Facts.” A majority of listed industrial fixtures have comparable lumen output and higher luminous efficacy than their metal halide and fluorescent counterparts. “And in terms of color quality and power quality, LED industrial fixtures almost all offer the same performance as their metal halide and fluorescent counterparts.”</w:t>
      </w:r>
    </w:p>
    <w:p w14:paraId="7F8ECD86" w14:textId="77777777" w:rsidR="00DA53D7" w:rsidRDefault="00DA53D7" w:rsidP="00DA53D7">
      <w:pPr>
        <w:autoSpaceDE w:val="0"/>
        <w:autoSpaceDN w:val="0"/>
        <w:rPr>
          <w:rFonts w:ascii="Arial" w:hAnsi="Arial" w:cs="Arial"/>
          <w:sz w:val="20"/>
          <w:szCs w:val="20"/>
        </w:rPr>
      </w:pPr>
    </w:p>
    <w:p w14:paraId="246F8AE3" w14:textId="77777777" w:rsidR="00DA53D7" w:rsidRDefault="00DA53D7" w:rsidP="00DA53D7">
      <w:pPr>
        <w:autoSpaceDE w:val="0"/>
        <w:autoSpaceDN w:val="0"/>
        <w:rPr>
          <w:rFonts w:ascii="Arial" w:hAnsi="Arial" w:cs="Arial"/>
          <w:sz w:val="20"/>
          <w:szCs w:val="20"/>
        </w:rPr>
      </w:pPr>
      <w:r>
        <w:rPr>
          <w:rFonts w:ascii="Arial" w:hAnsi="Arial" w:cs="Arial"/>
          <w:sz w:val="20"/>
          <w:szCs w:val="20"/>
        </w:rPr>
        <w:t>LED fixtures under this workpaper are assigned a measure code according to efficacy and wattage, which describes the energy savings associated with their replacement of linear fluorescent fixtures and less efficient LED fixtures.</w:t>
      </w:r>
    </w:p>
    <w:p w14:paraId="0F58E368" w14:textId="77777777" w:rsidR="00DA53D7" w:rsidRDefault="00DA53D7">
      <w:pPr>
        <w:spacing w:after="200" w:line="276" w:lineRule="auto"/>
      </w:pPr>
      <w:r>
        <w:br w:type="page"/>
      </w:r>
    </w:p>
    <w:p w14:paraId="4659C7F1" w14:textId="2AFD8C4E" w:rsidR="00DB71F1" w:rsidRDefault="00DB71F1" w:rsidP="0052546E">
      <w:pPr>
        <w:spacing w:after="200" w:line="276" w:lineRule="auto"/>
      </w:pPr>
      <w:r>
        <w:lastRenderedPageBreak/>
        <w:t>Measure Summary</w:t>
      </w:r>
      <w:r w:rsidRPr="0025216C">
        <w:t xml:space="preserve"> </w:t>
      </w:r>
    </w:p>
    <w:p w14:paraId="4659C7F2" w14:textId="77777777" w:rsidR="00DB71F1" w:rsidRDefault="00DB71F1" w:rsidP="00DB71F1">
      <w:pPr>
        <w:pStyle w:val="Caption"/>
        <w:keepNext/>
        <w:jc w:val="center"/>
      </w:pPr>
      <w:r>
        <w:t xml:space="preserve">Table </w:t>
      </w:r>
      <w:fldSimple w:instr=" SEQ Table \* ARABIC ">
        <w:r>
          <w:rPr>
            <w:noProof/>
          </w:rPr>
          <w:t>1</w:t>
        </w:r>
      </w:fldSimple>
      <w:r>
        <w:t>: Measure Summary Table</w:t>
      </w:r>
    </w:p>
    <w:tbl>
      <w:tblPr>
        <w:tblStyle w:val="TableGrid"/>
        <w:tblW w:w="10800" w:type="dxa"/>
        <w:tblInd w:w="-635" w:type="dxa"/>
        <w:tblLook w:val="04A0" w:firstRow="1" w:lastRow="0" w:firstColumn="1" w:lastColumn="0" w:noHBand="0" w:noVBand="1"/>
      </w:tblPr>
      <w:tblGrid>
        <w:gridCol w:w="1681"/>
        <w:gridCol w:w="9119"/>
      </w:tblGrid>
      <w:tr w:rsidR="00DB71F1" w14:paraId="4659C7F5" w14:textId="77777777" w:rsidTr="00EB4684">
        <w:trPr>
          <w:cantSplit/>
          <w:tblHeader/>
        </w:trPr>
        <w:tc>
          <w:tcPr>
            <w:tcW w:w="1710" w:type="dxa"/>
          </w:tcPr>
          <w:p w14:paraId="4659C7F3" w14:textId="77777777" w:rsidR="00DB71F1" w:rsidRPr="00D86243" w:rsidRDefault="00DB71F1" w:rsidP="00CA1893">
            <w:pPr>
              <w:jc w:val="center"/>
              <w:rPr>
                <w:b/>
              </w:rPr>
            </w:pPr>
            <w:r w:rsidRPr="00D86243">
              <w:rPr>
                <w:b/>
              </w:rPr>
              <w:t>Section</w:t>
            </w:r>
          </w:p>
        </w:tc>
        <w:tc>
          <w:tcPr>
            <w:tcW w:w="9090" w:type="dxa"/>
          </w:tcPr>
          <w:p w14:paraId="4659C7F4" w14:textId="77777777" w:rsidR="00DB71F1" w:rsidRPr="00D86243" w:rsidRDefault="00DB71F1" w:rsidP="00CA1893">
            <w:pPr>
              <w:jc w:val="center"/>
              <w:rPr>
                <w:b/>
              </w:rPr>
            </w:pPr>
            <w:r w:rsidRPr="00D86243">
              <w:rPr>
                <w:b/>
              </w:rPr>
              <w:t>Value</w:t>
            </w:r>
          </w:p>
        </w:tc>
      </w:tr>
      <w:tr w:rsidR="00DB71F1" w14:paraId="4659C7F8" w14:textId="77777777" w:rsidTr="00EB4684">
        <w:trPr>
          <w:cantSplit/>
        </w:trPr>
        <w:tc>
          <w:tcPr>
            <w:tcW w:w="1710" w:type="dxa"/>
            <w:vAlign w:val="center"/>
          </w:tcPr>
          <w:p w14:paraId="4659C7F6" w14:textId="77777777" w:rsidR="00DB71F1" w:rsidRPr="001D77F7" w:rsidRDefault="00DB71F1" w:rsidP="00CA1893">
            <w:pPr>
              <w:rPr>
                <w:b/>
              </w:rPr>
            </w:pPr>
            <w:r>
              <w:rPr>
                <w:b/>
              </w:rPr>
              <w:t>Summary &amp; Purpose</w:t>
            </w:r>
          </w:p>
        </w:tc>
        <w:tc>
          <w:tcPr>
            <w:tcW w:w="9090" w:type="dxa"/>
          </w:tcPr>
          <w:p w14:paraId="4659C7F7" w14:textId="019B611E" w:rsidR="00DB71F1" w:rsidRPr="00036409" w:rsidRDefault="00DB71F1">
            <w:pPr>
              <w:rPr>
                <w:rFonts w:cstheme="minorHAnsi"/>
                <w:sz w:val="20"/>
                <w:szCs w:val="20"/>
              </w:rPr>
            </w:pPr>
            <w:r w:rsidRPr="00036409">
              <w:rPr>
                <w:rFonts w:cstheme="minorHAnsi"/>
                <w:sz w:val="20"/>
                <w:szCs w:val="20"/>
              </w:rPr>
              <w:t>This short form workpaper documents ex-ante load impact</w:t>
            </w:r>
            <w:r w:rsidR="00E733C7" w:rsidRPr="00036409">
              <w:rPr>
                <w:rFonts w:cstheme="minorHAnsi"/>
                <w:sz w:val="20"/>
                <w:szCs w:val="20"/>
              </w:rPr>
              <w:t>s</w:t>
            </w:r>
            <w:r w:rsidRPr="00036409">
              <w:rPr>
                <w:rFonts w:cstheme="minorHAnsi"/>
                <w:sz w:val="20"/>
                <w:szCs w:val="20"/>
              </w:rPr>
              <w:t xml:space="preserve"> and cost-effectiveness values for </w:t>
            </w:r>
            <w:r w:rsidR="0085355C" w:rsidRPr="00036409">
              <w:rPr>
                <w:rFonts w:cstheme="minorHAnsi"/>
                <w:sz w:val="20"/>
                <w:szCs w:val="20"/>
              </w:rPr>
              <w:t xml:space="preserve">LED </w:t>
            </w:r>
            <w:r w:rsidR="001D3B29">
              <w:rPr>
                <w:rFonts w:cstheme="minorHAnsi"/>
                <w:sz w:val="20"/>
                <w:szCs w:val="20"/>
              </w:rPr>
              <w:t xml:space="preserve">High/Low Bay Lighting Fixtures. </w:t>
            </w:r>
            <w:r w:rsidRPr="00036409">
              <w:rPr>
                <w:rFonts w:cstheme="minorHAnsi"/>
                <w:sz w:val="20"/>
                <w:szCs w:val="20"/>
              </w:rPr>
              <w:t xml:space="preserve">All </w:t>
            </w:r>
            <w:r w:rsidR="007F50D8">
              <w:rPr>
                <w:rFonts w:cstheme="minorHAnsi"/>
                <w:sz w:val="20"/>
                <w:szCs w:val="20"/>
              </w:rPr>
              <w:t xml:space="preserve">measure, impact and cost </w:t>
            </w:r>
            <w:r w:rsidRPr="00036409">
              <w:rPr>
                <w:rFonts w:cstheme="minorHAnsi"/>
                <w:sz w:val="20"/>
                <w:szCs w:val="20"/>
              </w:rPr>
              <w:t xml:space="preserve">parameters are per </w:t>
            </w:r>
            <w:r w:rsidR="007F50D8">
              <w:rPr>
                <w:rFonts w:cstheme="minorHAnsi"/>
                <w:sz w:val="20"/>
                <w:szCs w:val="20"/>
              </w:rPr>
              <w:t xml:space="preserve">PEAR database using </w:t>
            </w:r>
            <w:r w:rsidRPr="00036409">
              <w:rPr>
                <w:rFonts w:cstheme="minorHAnsi"/>
                <w:sz w:val="20"/>
                <w:szCs w:val="20"/>
              </w:rPr>
              <w:t>READI</w:t>
            </w:r>
            <w:r w:rsidR="00BE730F" w:rsidRPr="00036409">
              <w:rPr>
                <w:rFonts w:cstheme="minorHAnsi"/>
                <w:sz w:val="20"/>
                <w:szCs w:val="20"/>
              </w:rPr>
              <w:t xml:space="preserve"> </w:t>
            </w:r>
            <w:r w:rsidR="00563B2A">
              <w:rPr>
                <w:rFonts w:cstheme="minorHAnsi"/>
                <w:sz w:val="20"/>
                <w:szCs w:val="20"/>
              </w:rPr>
              <w:t>Tool v</w:t>
            </w:r>
            <w:r w:rsidR="00BE730F" w:rsidRPr="00036409">
              <w:rPr>
                <w:rFonts w:cstheme="minorHAnsi"/>
                <w:sz w:val="20"/>
                <w:szCs w:val="20"/>
              </w:rPr>
              <w:t>2.4.</w:t>
            </w:r>
            <w:r w:rsidR="00563B2A">
              <w:rPr>
                <w:rFonts w:cstheme="minorHAnsi"/>
                <w:sz w:val="20"/>
                <w:szCs w:val="20"/>
              </w:rPr>
              <w:t>8</w:t>
            </w:r>
            <w:r w:rsidRPr="00036409">
              <w:rPr>
                <w:rFonts w:cstheme="minorHAnsi"/>
                <w:sz w:val="20"/>
                <w:szCs w:val="20"/>
              </w:rPr>
              <w:t xml:space="preserve"> </w:t>
            </w:r>
            <w:r w:rsidR="007F50D8">
              <w:rPr>
                <w:rFonts w:cstheme="minorHAnsi"/>
                <w:sz w:val="20"/>
                <w:szCs w:val="20"/>
              </w:rPr>
              <w:t xml:space="preserve">user interface </w:t>
            </w:r>
            <w:r w:rsidRPr="00036409">
              <w:rPr>
                <w:rFonts w:cstheme="minorHAnsi"/>
                <w:sz w:val="20"/>
                <w:szCs w:val="20"/>
              </w:rPr>
              <w:t xml:space="preserve">and are </w:t>
            </w:r>
            <w:r w:rsidR="00BE730F" w:rsidRPr="00036409">
              <w:rPr>
                <w:rFonts w:cstheme="minorHAnsi"/>
                <w:sz w:val="20"/>
                <w:szCs w:val="20"/>
              </w:rPr>
              <w:t xml:space="preserve">adopted </w:t>
            </w:r>
            <w:r w:rsidRPr="00036409">
              <w:rPr>
                <w:rFonts w:cstheme="minorHAnsi"/>
                <w:sz w:val="20"/>
                <w:szCs w:val="20"/>
              </w:rPr>
              <w:t>by SDG&amp;E as noted in th</w:t>
            </w:r>
            <w:r w:rsidR="00E733C7" w:rsidRPr="00036409">
              <w:rPr>
                <w:rFonts w:cstheme="minorHAnsi"/>
                <w:sz w:val="20"/>
                <w:szCs w:val="20"/>
              </w:rPr>
              <w:t>is</w:t>
            </w:r>
            <w:r w:rsidRPr="00036409">
              <w:rPr>
                <w:rFonts w:cstheme="minorHAnsi"/>
                <w:sz w:val="20"/>
                <w:szCs w:val="20"/>
              </w:rPr>
              <w:t xml:space="preserve"> </w:t>
            </w:r>
            <w:r w:rsidR="00BE730F" w:rsidRPr="00036409">
              <w:rPr>
                <w:rFonts w:cstheme="minorHAnsi"/>
                <w:sz w:val="20"/>
                <w:szCs w:val="20"/>
              </w:rPr>
              <w:t>short form workpaper</w:t>
            </w:r>
            <w:r w:rsidRPr="00036409">
              <w:rPr>
                <w:rFonts w:cstheme="minorHAnsi"/>
                <w:sz w:val="20"/>
                <w:szCs w:val="20"/>
              </w:rPr>
              <w:t>.</w:t>
            </w:r>
          </w:p>
        </w:tc>
      </w:tr>
      <w:tr w:rsidR="00DB71F1" w14:paraId="4659C7FB" w14:textId="77777777" w:rsidTr="00EB4684">
        <w:trPr>
          <w:cantSplit/>
        </w:trPr>
        <w:tc>
          <w:tcPr>
            <w:tcW w:w="1710" w:type="dxa"/>
            <w:vAlign w:val="center"/>
          </w:tcPr>
          <w:p w14:paraId="4659C7F9" w14:textId="77777777" w:rsidR="00DB71F1" w:rsidRPr="001D77F7" w:rsidRDefault="00DB71F1" w:rsidP="00CA1893">
            <w:pPr>
              <w:rPr>
                <w:b/>
              </w:rPr>
            </w:pPr>
            <w:r w:rsidRPr="001D77F7">
              <w:rPr>
                <w:b/>
              </w:rPr>
              <w:lastRenderedPageBreak/>
              <w:t>1.1 Measure &amp; Baseline Data</w:t>
            </w:r>
          </w:p>
        </w:tc>
        <w:tc>
          <w:tcPr>
            <w:tcW w:w="9090" w:type="dxa"/>
          </w:tcPr>
          <w:p w14:paraId="2887B4DA" w14:textId="0D371085" w:rsidR="00BE730F" w:rsidRDefault="00BE730F" w:rsidP="001D57D7">
            <w:pPr>
              <w:rPr>
                <w:rFonts w:cstheme="minorHAnsi"/>
                <w:sz w:val="20"/>
                <w:szCs w:val="20"/>
              </w:rPr>
            </w:pPr>
            <w:r w:rsidRPr="00036409">
              <w:rPr>
                <w:rFonts w:cstheme="minorHAnsi"/>
                <w:sz w:val="20"/>
                <w:szCs w:val="20"/>
              </w:rPr>
              <w:t>Adopted from DEER/READI 2.4.</w:t>
            </w:r>
            <w:r w:rsidR="00421DAA">
              <w:rPr>
                <w:rFonts w:cstheme="minorHAnsi"/>
                <w:sz w:val="20"/>
                <w:szCs w:val="20"/>
              </w:rPr>
              <w:t xml:space="preserve">8 and as </w:t>
            </w:r>
            <w:r w:rsidR="00421DAA" w:rsidRPr="00036409">
              <w:rPr>
                <w:rFonts w:cstheme="minorHAnsi"/>
                <w:sz w:val="20"/>
                <w:szCs w:val="20"/>
              </w:rPr>
              <w:t xml:space="preserve">stated per </w:t>
            </w:r>
            <w:r w:rsidR="00421DAA">
              <w:rPr>
                <w:rFonts w:cstheme="minorHAnsi"/>
                <w:sz w:val="20"/>
                <w:szCs w:val="20"/>
              </w:rPr>
              <w:t xml:space="preserve">2018 May 7 CPUC Energy Disposition for High-Bay and Low-Bay Interim approval of PEAR database and available on </w:t>
            </w:r>
            <w:hyperlink r:id="rId11" w:history="1">
              <w:r w:rsidR="00421DAA" w:rsidRPr="00B23D0A">
                <w:rPr>
                  <w:rStyle w:val="Hyperlink"/>
                  <w:rFonts w:cstheme="minorHAnsi"/>
                  <w:sz w:val="20"/>
                  <w:szCs w:val="20"/>
                </w:rPr>
                <w:t>www.deeresources.net</w:t>
              </w:r>
            </w:hyperlink>
            <w:r w:rsidR="00421DAA">
              <w:rPr>
                <w:rFonts w:cstheme="minorHAnsi"/>
                <w:sz w:val="20"/>
                <w:szCs w:val="20"/>
              </w:rPr>
              <w:t xml:space="preserve"> .</w:t>
            </w:r>
          </w:p>
          <w:p w14:paraId="14816355" w14:textId="64A7DC7F" w:rsidR="00421DAA" w:rsidRDefault="00421DAA" w:rsidP="001D57D7">
            <w:pPr>
              <w:rPr>
                <w:rFonts w:cstheme="minorHAnsi"/>
                <w:sz w:val="20"/>
                <w:szCs w:val="20"/>
              </w:rPr>
            </w:pPr>
          </w:p>
          <w:p w14:paraId="16C2D1F3" w14:textId="290CD64F" w:rsidR="00421DAA" w:rsidRDefault="009E3512" w:rsidP="001D57D7">
            <w:pPr>
              <w:rPr>
                <w:rFonts w:cstheme="minorHAnsi"/>
                <w:sz w:val="20"/>
                <w:szCs w:val="20"/>
              </w:rPr>
            </w:pPr>
            <w:r>
              <w:rPr>
                <w:rFonts w:cstheme="minorHAnsi"/>
                <w:sz w:val="20"/>
                <w:szCs w:val="20"/>
              </w:rPr>
              <w:t>Measure</w:t>
            </w:r>
            <w:r w:rsidR="00EB4684">
              <w:rPr>
                <w:rFonts w:cstheme="minorHAnsi"/>
                <w:sz w:val="20"/>
                <w:szCs w:val="20"/>
              </w:rPr>
              <w:t>s:</w:t>
            </w:r>
          </w:p>
          <w:tbl>
            <w:tblPr>
              <w:tblW w:w="8800" w:type="dxa"/>
              <w:tblLook w:val="04A0" w:firstRow="1" w:lastRow="0" w:firstColumn="1" w:lastColumn="0" w:noHBand="0" w:noVBand="1"/>
            </w:tblPr>
            <w:tblGrid>
              <w:gridCol w:w="860"/>
              <w:gridCol w:w="5150"/>
              <w:gridCol w:w="2790"/>
            </w:tblGrid>
            <w:tr w:rsidR="009E3512" w:rsidRPr="009E3512" w14:paraId="78FC6383" w14:textId="77777777" w:rsidTr="00EB4684">
              <w:trPr>
                <w:trHeight w:val="290"/>
              </w:trPr>
              <w:tc>
                <w:tcPr>
                  <w:tcW w:w="860" w:type="dxa"/>
                  <w:tcBorders>
                    <w:top w:val="nil"/>
                    <w:left w:val="nil"/>
                    <w:bottom w:val="nil"/>
                    <w:right w:val="nil"/>
                  </w:tcBorders>
                  <w:shd w:val="clear" w:color="auto" w:fill="auto"/>
                  <w:noWrap/>
                  <w:vAlign w:val="bottom"/>
                  <w:hideMark/>
                </w:tcPr>
                <w:p w14:paraId="38BF30FA" w14:textId="77777777" w:rsidR="009E3512" w:rsidRPr="009E3512" w:rsidRDefault="009E3512" w:rsidP="009E3512">
                  <w:pPr>
                    <w:rPr>
                      <w:rFonts w:ascii="Times New Roman" w:hAnsi="Times New Roman"/>
                      <w:sz w:val="24"/>
                      <w:szCs w:val="20"/>
                    </w:rPr>
                  </w:pPr>
                </w:p>
              </w:tc>
              <w:tc>
                <w:tcPr>
                  <w:tcW w:w="7940" w:type="dxa"/>
                  <w:gridSpan w:val="2"/>
                  <w:tcBorders>
                    <w:top w:val="nil"/>
                    <w:left w:val="nil"/>
                    <w:bottom w:val="nil"/>
                    <w:right w:val="nil"/>
                  </w:tcBorders>
                  <w:shd w:val="clear" w:color="auto" w:fill="auto"/>
                  <w:noWrap/>
                  <w:vAlign w:val="bottom"/>
                  <w:hideMark/>
                </w:tcPr>
                <w:p w14:paraId="19C6C190" w14:textId="77777777" w:rsidR="009E3512" w:rsidRPr="009E3512" w:rsidRDefault="009E3512" w:rsidP="009E3512">
                  <w:pPr>
                    <w:rPr>
                      <w:rFonts w:ascii="Calibri" w:hAnsi="Calibri" w:cs="Calibri"/>
                      <w:color w:val="000000"/>
                      <w:sz w:val="20"/>
                      <w:szCs w:val="20"/>
                    </w:rPr>
                  </w:pPr>
                  <w:r w:rsidRPr="009E3512">
                    <w:rPr>
                      <w:rFonts w:ascii="Calibri" w:hAnsi="Calibri" w:cs="Calibri"/>
                      <w:color w:val="000000"/>
                      <w:sz w:val="20"/>
                      <w:szCs w:val="20"/>
                    </w:rPr>
                    <w:t>High-Bay and Low-Bay LED Measures</w:t>
                  </w:r>
                </w:p>
              </w:tc>
            </w:tr>
            <w:tr w:rsidR="009E3512" w:rsidRPr="009E3512" w14:paraId="34488FF8" w14:textId="77777777" w:rsidTr="00EB4684">
              <w:trPr>
                <w:trHeight w:val="290"/>
              </w:trPr>
              <w:tc>
                <w:tcPr>
                  <w:tcW w:w="601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5828D42" w14:textId="77777777" w:rsidR="009E3512" w:rsidRPr="009E3512" w:rsidRDefault="009E3512" w:rsidP="009E3512">
                  <w:pPr>
                    <w:jc w:val="center"/>
                    <w:rPr>
                      <w:rFonts w:ascii="Calibri" w:hAnsi="Calibri" w:cs="Calibri"/>
                      <w:color w:val="000000"/>
                      <w:sz w:val="20"/>
                      <w:szCs w:val="20"/>
                    </w:rPr>
                  </w:pPr>
                  <w:r w:rsidRPr="009E3512">
                    <w:rPr>
                      <w:rFonts w:ascii="Calibri" w:hAnsi="Calibri" w:cs="Calibri"/>
                      <w:color w:val="000000"/>
                      <w:sz w:val="20"/>
                      <w:szCs w:val="20"/>
                    </w:rPr>
                    <w:t>2018</w:t>
                  </w:r>
                </w:p>
              </w:tc>
              <w:tc>
                <w:tcPr>
                  <w:tcW w:w="2790" w:type="dxa"/>
                  <w:tcBorders>
                    <w:top w:val="single" w:sz="4" w:space="0" w:color="auto"/>
                    <w:left w:val="nil"/>
                    <w:bottom w:val="single" w:sz="4" w:space="0" w:color="auto"/>
                    <w:right w:val="single" w:sz="4" w:space="0" w:color="auto"/>
                  </w:tcBorders>
                  <w:shd w:val="clear" w:color="auto" w:fill="auto"/>
                  <w:noWrap/>
                  <w:vAlign w:val="bottom"/>
                  <w:hideMark/>
                </w:tcPr>
                <w:p w14:paraId="7C71C968" w14:textId="77777777" w:rsidR="009E3512" w:rsidRPr="009E3512" w:rsidRDefault="009E3512" w:rsidP="009E3512">
                  <w:pPr>
                    <w:rPr>
                      <w:rFonts w:ascii="Calibri" w:hAnsi="Calibri" w:cs="Calibri"/>
                      <w:color w:val="000000"/>
                      <w:sz w:val="20"/>
                      <w:szCs w:val="20"/>
                    </w:rPr>
                  </w:pPr>
                  <w:r w:rsidRPr="009E3512">
                    <w:rPr>
                      <w:rFonts w:ascii="Calibri" w:hAnsi="Calibri" w:cs="Calibri"/>
                      <w:color w:val="000000"/>
                      <w:sz w:val="20"/>
                      <w:szCs w:val="20"/>
                    </w:rPr>
                    <w:t>2018 DEER Msr ID</w:t>
                  </w:r>
                </w:p>
              </w:tc>
            </w:tr>
            <w:tr w:rsidR="00EB4684" w:rsidRPr="009E3512" w14:paraId="351A8F31" w14:textId="77777777" w:rsidTr="00EB4684">
              <w:trPr>
                <w:trHeight w:val="790"/>
              </w:trPr>
              <w:tc>
                <w:tcPr>
                  <w:tcW w:w="86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EC7FA3A" w14:textId="77777777" w:rsidR="009E3512" w:rsidRPr="009E3512" w:rsidRDefault="009E3512" w:rsidP="009E3512">
                  <w:pPr>
                    <w:jc w:val="center"/>
                    <w:rPr>
                      <w:rFonts w:ascii="Calibri" w:hAnsi="Calibri" w:cs="Calibri"/>
                      <w:color w:val="000000"/>
                      <w:sz w:val="20"/>
                      <w:szCs w:val="20"/>
                    </w:rPr>
                  </w:pPr>
                  <w:r w:rsidRPr="009E3512">
                    <w:rPr>
                      <w:rFonts w:ascii="Calibri" w:hAnsi="Calibri" w:cs="Calibri"/>
                      <w:color w:val="000000"/>
                      <w:sz w:val="20"/>
                      <w:szCs w:val="20"/>
                    </w:rPr>
                    <w:t>Tier 1</w:t>
                  </w:r>
                </w:p>
              </w:tc>
              <w:tc>
                <w:tcPr>
                  <w:tcW w:w="5150" w:type="dxa"/>
                  <w:tcBorders>
                    <w:top w:val="nil"/>
                    <w:left w:val="nil"/>
                    <w:bottom w:val="single" w:sz="4" w:space="0" w:color="auto"/>
                    <w:right w:val="single" w:sz="4" w:space="0" w:color="auto"/>
                  </w:tcBorders>
                  <w:shd w:val="clear" w:color="000000" w:fill="FFFFFF"/>
                  <w:vAlign w:val="bottom"/>
                  <w:hideMark/>
                </w:tcPr>
                <w:p w14:paraId="38D77ACE" w14:textId="77777777" w:rsidR="009E3512" w:rsidRPr="009E3512" w:rsidRDefault="009E3512" w:rsidP="009E3512">
                  <w:pPr>
                    <w:rPr>
                      <w:rFonts w:ascii="Calibri" w:hAnsi="Calibri" w:cs="Calibri"/>
                      <w:color w:val="000000"/>
                      <w:sz w:val="20"/>
                      <w:szCs w:val="20"/>
                    </w:rPr>
                  </w:pPr>
                  <w:r w:rsidRPr="009E3512">
                    <w:rPr>
                      <w:rFonts w:ascii="Calibri" w:hAnsi="Calibri" w:cs="Calibri"/>
                      <w:color w:val="000000"/>
                      <w:sz w:val="20"/>
                      <w:szCs w:val="20"/>
                    </w:rPr>
                    <w:t>LED Fixture: High/Low Bay, 110 LPW to &lt;130 LPW, 0 to &lt;48 W</w:t>
                  </w:r>
                </w:p>
              </w:tc>
              <w:tc>
                <w:tcPr>
                  <w:tcW w:w="2790" w:type="dxa"/>
                  <w:tcBorders>
                    <w:top w:val="nil"/>
                    <w:left w:val="nil"/>
                    <w:bottom w:val="single" w:sz="4" w:space="0" w:color="auto"/>
                    <w:right w:val="single" w:sz="4" w:space="0" w:color="auto"/>
                  </w:tcBorders>
                  <w:shd w:val="clear" w:color="000000" w:fill="FFFFFF"/>
                  <w:vAlign w:val="center"/>
                  <w:hideMark/>
                </w:tcPr>
                <w:p w14:paraId="3D8F14B7" w14:textId="77777777" w:rsidR="009E3512" w:rsidRPr="009E3512" w:rsidRDefault="009E3512" w:rsidP="009E3512">
                  <w:pPr>
                    <w:rPr>
                      <w:rFonts w:ascii="Calibri" w:hAnsi="Calibri" w:cs="Calibri"/>
                      <w:color w:val="000000"/>
                      <w:sz w:val="20"/>
                      <w:szCs w:val="20"/>
                    </w:rPr>
                  </w:pPr>
                  <w:r w:rsidRPr="009E3512">
                    <w:rPr>
                      <w:rFonts w:ascii="Calibri" w:hAnsi="Calibri" w:cs="Calibri"/>
                      <w:color w:val="000000"/>
                      <w:sz w:val="20"/>
                      <w:szCs w:val="20"/>
                    </w:rPr>
                    <w:t>C-In-LEDFixt(47.99w)-dwP4.8</w:t>
                  </w:r>
                </w:p>
              </w:tc>
            </w:tr>
            <w:tr w:rsidR="009E3512" w:rsidRPr="009E3512" w14:paraId="7ABCE8B3" w14:textId="77777777" w:rsidTr="00EB4684">
              <w:trPr>
                <w:trHeight w:val="790"/>
              </w:trPr>
              <w:tc>
                <w:tcPr>
                  <w:tcW w:w="860" w:type="dxa"/>
                  <w:vMerge/>
                  <w:tcBorders>
                    <w:top w:val="nil"/>
                    <w:left w:val="single" w:sz="4" w:space="0" w:color="auto"/>
                    <w:bottom w:val="single" w:sz="4" w:space="0" w:color="000000"/>
                    <w:right w:val="single" w:sz="4" w:space="0" w:color="auto"/>
                  </w:tcBorders>
                  <w:vAlign w:val="center"/>
                  <w:hideMark/>
                </w:tcPr>
                <w:p w14:paraId="56F4150E" w14:textId="77777777" w:rsidR="009E3512" w:rsidRPr="009E3512" w:rsidRDefault="009E3512" w:rsidP="009E3512">
                  <w:pPr>
                    <w:rPr>
                      <w:rFonts w:ascii="Calibri" w:hAnsi="Calibri" w:cs="Calibri"/>
                      <w:color w:val="000000"/>
                      <w:sz w:val="20"/>
                      <w:szCs w:val="20"/>
                    </w:rPr>
                  </w:pPr>
                </w:p>
              </w:tc>
              <w:tc>
                <w:tcPr>
                  <w:tcW w:w="5150" w:type="dxa"/>
                  <w:tcBorders>
                    <w:top w:val="nil"/>
                    <w:left w:val="nil"/>
                    <w:bottom w:val="single" w:sz="4" w:space="0" w:color="auto"/>
                    <w:right w:val="single" w:sz="4" w:space="0" w:color="auto"/>
                  </w:tcBorders>
                  <w:shd w:val="clear" w:color="000000" w:fill="FFFFFF"/>
                  <w:vAlign w:val="bottom"/>
                  <w:hideMark/>
                </w:tcPr>
                <w:p w14:paraId="6CD89426" w14:textId="77777777" w:rsidR="009E3512" w:rsidRPr="009E3512" w:rsidRDefault="009E3512" w:rsidP="009E3512">
                  <w:pPr>
                    <w:rPr>
                      <w:rFonts w:ascii="Calibri" w:hAnsi="Calibri" w:cs="Calibri"/>
                      <w:color w:val="000000"/>
                      <w:sz w:val="20"/>
                      <w:szCs w:val="20"/>
                    </w:rPr>
                  </w:pPr>
                  <w:r w:rsidRPr="009E3512">
                    <w:rPr>
                      <w:rFonts w:ascii="Calibri" w:hAnsi="Calibri" w:cs="Calibri"/>
                      <w:color w:val="000000"/>
                      <w:sz w:val="20"/>
                      <w:szCs w:val="20"/>
                    </w:rPr>
                    <w:t>LED Fixture: High/Low Bay, 110 LPW to &lt;130 LPW, 48 to &lt;71 W</w:t>
                  </w:r>
                </w:p>
              </w:tc>
              <w:tc>
                <w:tcPr>
                  <w:tcW w:w="2790" w:type="dxa"/>
                  <w:tcBorders>
                    <w:top w:val="nil"/>
                    <w:left w:val="nil"/>
                    <w:bottom w:val="single" w:sz="4" w:space="0" w:color="auto"/>
                    <w:right w:val="single" w:sz="4" w:space="0" w:color="auto"/>
                  </w:tcBorders>
                  <w:shd w:val="clear" w:color="000000" w:fill="FFFFFF"/>
                  <w:vAlign w:val="center"/>
                  <w:hideMark/>
                </w:tcPr>
                <w:p w14:paraId="4BB85C62" w14:textId="77777777" w:rsidR="009E3512" w:rsidRPr="009E3512" w:rsidRDefault="009E3512" w:rsidP="009E3512">
                  <w:pPr>
                    <w:rPr>
                      <w:rFonts w:ascii="Calibri" w:hAnsi="Calibri" w:cs="Calibri"/>
                      <w:color w:val="000000"/>
                      <w:sz w:val="20"/>
                      <w:szCs w:val="20"/>
                    </w:rPr>
                  </w:pPr>
                  <w:r w:rsidRPr="009E3512">
                    <w:rPr>
                      <w:rFonts w:ascii="Calibri" w:hAnsi="Calibri" w:cs="Calibri"/>
                      <w:color w:val="000000"/>
                      <w:sz w:val="20"/>
                      <w:szCs w:val="20"/>
                    </w:rPr>
                    <w:t>C-In-LEDFixt(70.99w)-dwP10</w:t>
                  </w:r>
                </w:p>
              </w:tc>
            </w:tr>
            <w:tr w:rsidR="009E3512" w:rsidRPr="009E3512" w14:paraId="732A2238" w14:textId="77777777" w:rsidTr="00EB4684">
              <w:trPr>
                <w:trHeight w:val="790"/>
              </w:trPr>
              <w:tc>
                <w:tcPr>
                  <w:tcW w:w="860" w:type="dxa"/>
                  <w:vMerge/>
                  <w:tcBorders>
                    <w:top w:val="nil"/>
                    <w:left w:val="single" w:sz="4" w:space="0" w:color="auto"/>
                    <w:bottom w:val="single" w:sz="4" w:space="0" w:color="000000"/>
                    <w:right w:val="single" w:sz="4" w:space="0" w:color="auto"/>
                  </w:tcBorders>
                  <w:vAlign w:val="center"/>
                  <w:hideMark/>
                </w:tcPr>
                <w:p w14:paraId="3C3817B5" w14:textId="77777777" w:rsidR="009E3512" w:rsidRPr="009E3512" w:rsidRDefault="009E3512" w:rsidP="009E3512">
                  <w:pPr>
                    <w:rPr>
                      <w:rFonts w:ascii="Calibri" w:hAnsi="Calibri" w:cs="Calibri"/>
                      <w:color w:val="000000"/>
                      <w:sz w:val="20"/>
                      <w:szCs w:val="20"/>
                    </w:rPr>
                  </w:pPr>
                </w:p>
              </w:tc>
              <w:tc>
                <w:tcPr>
                  <w:tcW w:w="5150" w:type="dxa"/>
                  <w:tcBorders>
                    <w:top w:val="nil"/>
                    <w:left w:val="nil"/>
                    <w:bottom w:val="single" w:sz="4" w:space="0" w:color="auto"/>
                    <w:right w:val="single" w:sz="4" w:space="0" w:color="auto"/>
                  </w:tcBorders>
                  <w:shd w:val="clear" w:color="000000" w:fill="FFFFFF"/>
                  <w:vAlign w:val="bottom"/>
                  <w:hideMark/>
                </w:tcPr>
                <w:p w14:paraId="4EF25E2F" w14:textId="77777777" w:rsidR="009E3512" w:rsidRPr="009E3512" w:rsidRDefault="009E3512" w:rsidP="009E3512">
                  <w:pPr>
                    <w:rPr>
                      <w:rFonts w:ascii="Calibri" w:hAnsi="Calibri" w:cs="Calibri"/>
                      <w:color w:val="000000"/>
                      <w:sz w:val="20"/>
                      <w:szCs w:val="20"/>
                    </w:rPr>
                  </w:pPr>
                  <w:r w:rsidRPr="009E3512">
                    <w:rPr>
                      <w:rFonts w:ascii="Calibri" w:hAnsi="Calibri" w:cs="Calibri"/>
                      <w:color w:val="000000"/>
                      <w:sz w:val="20"/>
                      <w:szCs w:val="20"/>
                    </w:rPr>
                    <w:t>LED Fixture: High/Low Bay, 110 LPW to &lt;130 LPW, 71 to &lt;90 W</w:t>
                  </w:r>
                </w:p>
              </w:tc>
              <w:tc>
                <w:tcPr>
                  <w:tcW w:w="2790" w:type="dxa"/>
                  <w:tcBorders>
                    <w:top w:val="nil"/>
                    <w:left w:val="nil"/>
                    <w:bottom w:val="single" w:sz="4" w:space="0" w:color="auto"/>
                    <w:right w:val="single" w:sz="4" w:space="0" w:color="auto"/>
                  </w:tcBorders>
                  <w:shd w:val="clear" w:color="000000" w:fill="FFFFFF"/>
                  <w:vAlign w:val="center"/>
                  <w:hideMark/>
                </w:tcPr>
                <w:p w14:paraId="43140C56" w14:textId="77777777" w:rsidR="009E3512" w:rsidRPr="009E3512" w:rsidRDefault="009E3512" w:rsidP="009E3512">
                  <w:pPr>
                    <w:rPr>
                      <w:rFonts w:ascii="Calibri" w:hAnsi="Calibri" w:cs="Calibri"/>
                      <w:color w:val="000000"/>
                      <w:sz w:val="20"/>
                      <w:szCs w:val="20"/>
                    </w:rPr>
                  </w:pPr>
                  <w:r w:rsidRPr="009E3512">
                    <w:rPr>
                      <w:rFonts w:ascii="Calibri" w:hAnsi="Calibri" w:cs="Calibri"/>
                      <w:color w:val="000000"/>
                      <w:sz w:val="20"/>
                      <w:szCs w:val="20"/>
                    </w:rPr>
                    <w:t>C-In-LEDFixt(89.99w)-dwP15.4</w:t>
                  </w:r>
                </w:p>
              </w:tc>
            </w:tr>
            <w:tr w:rsidR="009E3512" w:rsidRPr="009E3512" w14:paraId="6390DEDC" w14:textId="77777777" w:rsidTr="00EB4684">
              <w:trPr>
                <w:trHeight w:val="790"/>
              </w:trPr>
              <w:tc>
                <w:tcPr>
                  <w:tcW w:w="860" w:type="dxa"/>
                  <w:vMerge/>
                  <w:tcBorders>
                    <w:top w:val="nil"/>
                    <w:left w:val="single" w:sz="4" w:space="0" w:color="auto"/>
                    <w:bottom w:val="single" w:sz="4" w:space="0" w:color="000000"/>
                    <w:right w:val="single" w:sz="4" w:space="0" w:color="auto"/>
                  </w:tcBorders>
                  <w:vAlign w:val="center"/>
                  <w:hideMark/>
                </w:tcPr>
                <w:p w14:paraId="326FBC86" w14:textId="77777777" w:rsidR="009E3512" w:rsidRPr="009E3512" w:rsidRDefault="009E3512" w:rsidP="009E3512">
                  <w:pPr>
                    <w:rPr>
                      <w:rFonts w:ascii="Calibri" w:hAnsi="Calibri" w:cs="Calibri"/>
                      <w:color w:val="000000"/>
                      <w:sz w:val="20"/>
                      <w:szCs w:val="20"/>
                    </w:rPr>
                  </w:pPr>
                </w:p>
              </w:tc>
              <w:tc>
                <w:tcPr>
                  <w:tcW w:w="5150" w:type="dxa"/>
                  <w:tcBorders>
                    <w:top w:val="nil"/>
                    <w:left w:val="nil"/>
                    <w:bottom w:val="single" w:sz="4" w:space="0" w:color="auto"/>
                    <w:right w:val="single" w:sz="4" w:space="0" w:color="auto"/>
                  </w:tcBorders>
                  <w:shd w:val="clear" w:color="000000" w:fill="FFFFFF"/>
                  <w:vAlign w:val="bottom"/>
                  <w:hideMark/>
                </w:tcPr>
                <w:p w14:paraId="03A03607" w14:textId="77777777" w:rsidR="009E3512" w:rsidRPr="009E3512" w:rsidRDefault="009E3512" w:rsidP="009E3512">
                  <w:pPr>
                    <w:rPr>
                      <w:rFonts w:ascii="Calibri" w:hAnsi="Calibri" w:cs="Calibri"/>
                      <w:color w:val="000000"/>
                      <w:sz w:val="20"/>
                      <w:szCs w:val="20"/>
                    </w:rPr>
                  </w:pPr>
                  <w:r w:rsidRPr="009E3512">
                    <w:rPr>
                      <w:rFonts w:ascii="Calibri" w:hAnsi="Calibri" w:cs="Calibri"/>
                      <w:color w:val="000000"/>
                      <w:sz w:val="20"/>
                      <w:szCs w:val="20"/>
                    </w:rPr>
                    <w:t>LED Fixture: High/Low Bay, 120 LPW to &lt;130 LPW, 90 to &lt;125 W</w:t>
                  </w:r>
                </w:p>
              </w:tc>
              <w:tc>
                <w:tcPr>
                  <w:tcW w:w="2790" w:type="dxa"/>
                  <w:tcBorders>
                    <w:top w:val="nil"/>
                    <w:left w:val="nil"/>
                    <w:bottom w:val="single" w:sz="4" w:space="0" w:color="auto"/>
                    <w:right w:val="single" w:sz="4" w:space="0" w:color="auto"/>
                  </w:tcBorders>
                  <w:shd w:val="clear" w:color="000000" w:fill="FFFFFF"/>
                  <w:vAlign w:val="center"/>
                  <w:hideMark/>
                </w:tcPr>
                <w:p w14:paraId="344559C0" w14:textId="77777777" w:rsidR="009E3512" w:rsidRPr="009E3512" w:rsidRDefault="009E3512" w:rsidP="009E3512">
                  <w:pPr>
                    <w:rPr>
                      <w:rFonts w:ascii="Calibri" w:hAnsi="Calibri" w:cs="Calibri"/>
                      <w:color w:val="000000"/>
                      <w:sz w:val="20"/>
                      <w:szCs w:val="20"/>
                    </w:rPr>
                  </w:pPr>
                  <w:r w:rsidRPr="009E3512">
                    <w:rPr>
                      <w:rFonts w:ascii="Calibri" w:hAnsi="Calibri" w:cs="Calibri"/>
                      <w:color w:val="000000"/>
                      <w:sz w:val="20"/>
                      <w:szCs w:val="20"/>
                    </w:rPr>
                    <w:t>C-In-LEDFixt(124.99w)-dwP17.6</w:t>
                  </w:r>
                </w:p>
              </w:tc>
            </w:tr>
            <w:tr w:rsidR="00EB4684" w:rsidRPr="009E3512" w14:paraId="4040C5F7" w14:textId="77777777" w:rsidTr="00EB4684">
              <w:trPr>
                <w:trHeight w:val="530"/>
              </w:trPr>
              <w:tc>
                <w:tcPr>
                  <w:tcW w:w="86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7C27C08" w14:textId="77777777" w:rsidR="009E3512" w:rsidRPr="009E3512" w:rsidRDefault="009E3512" w:rsidP="009E3512">
                  <w:pPr>
                    <w:jc w:val="center"/>
                    <w:rPr>
                      <w:rFonts w:ascii="Calibri" w:hAnsi="Calibri" w:cs="Calibri"/>
                      <w:color w:val="000000"/>
                      <w:sz w:val="20"/>
                      <w:szCs w:val="20"/>
                    </w:rPr>
                  </w:pPr>
                  <w:r w:rsidRPr="009E3512">
                    <w:rPr>
                      <w:rFonts w:ascii="Calibri" w:hAnsi="Calibri" w:cs="Calibri"/>
                      <w:color w:val="000000"/>
                      <w:sz w:val="20"/>
                      <w:szCs w:val="20"/>
                    </w:rPr>
                    <w:t>Tier 2</w:t>
                  </w:r>
                </w:p>
              </w:tc>
              <w:tc>
                <w:tcPr>
                  <w:tcW w:w="5150" w:type="dxa"/>
                  <w:tcBorders>
                    <w:top w:val="nil"/>
                    <w:left w:val="nil"/>
                    <w:bottom w:val="single" w:sz="4" w:space="0" w:color="auto"/>
                    <w:right w:val="single" w:sz="4" w:space="0" w:color="auto"/>
                  </w:tcBorders>
                  <w:shd w:val="clear" w:color="000000" w:fill="FFFFFF"/>
                  <w:vAlign w:val="bottom"/>
                  <w:hideMark/>
                </w:tcPr>
                <w:p w14:paraId="0B1D1E25" w14:textId="77777777" w:rsidR="009E3512" w:rsidRPr="009E3512" w:rsidRDefault="009E3512" w:rsidP="009E3512">
                  <w:pPr>
                    <w:rPr>
                      <w:rFonts w:ascii="Calibri" w:hAnsi="Calibri" w:cs="Calibri"/>
                      <w:color w:val="000000"/>
                      <w:sz w:val="20"/>
                      <w:szCs w:val="20"/>
                    </w:rPr>
                  </w:pPr>
                  <w:r w:rsidRPr="009E3512">
                    <w:rPr>
                      <w:rFonts w:ascii="Calibri" w:hAnsi="Calibri" w:cs="Calibri"/>
                      <w:color w:val="000000"/>
                      <w:sz w:val="20"/>
                      <w:szCs w:val="20"/>
                    </w:rPr>
                    <w:t>LED Fixture: High/Low Bay, &gt;=130 LPW, 0 to &lt;42 W</w:t>
                  </w:r>
                </w:p>
              </w:tc>
              <w:tc>
                <w:tcPr>
                  <w:tcW w:w="2790" w:type="dxa"/>
                  <w:tcBorders>
                    <w:top w:val="nil"/>
                    <w:left w:val="nil"/>
                    <w:bottom w:val="single" w:sz="4" w:space="0" w:color="auto"/>
                    <w:right w:val="single" w:sz="4" w:space="0" w:color="auto"/>
                  </w:tcBorders>
                  <w:shd w:val="clear" w:color="000000" w:fill="FFFFFF"/>
                  <w:vAlign w:val="center"/>
                  <w:hideMark/>
                </w:tcPr>
                <w:p w14:paraId="771A1FBE" w14:textId="77777777" w:rsidR="009E3512" w:rsidRPr="009E3512" w:rsidRDefault="009E3512" w:rsidP="009E3512">
                  <w:pPr>
                    <w:rPr>
                      <w:rFonts w:ascii="Calibri" w:hAnsi="Calibri" w:cs="Calibri"/>
                      <w:color w:val="000000"/>
                      <w:sz w:val="20"/>
                      <w:szCs w:val="20"/>
                    </w:rPr>
                  </w:pPr>
                  <w:r w:rsidRPr="009E3512">
                    <w:rPr>
                      <w:rFonts w:ascii="Calibri" w:hAnsi="Calibri" w:cs="Calibri"/>
                      <w:color w:val="000000"/>
                      <w:sz w:val="20"/>
                      <w:szCs w:val="20"/>
                    </w:rPr>
                    <w:t>C-In-LEDFixt(41.99w)-dwP10.8</w:t>
                  </w:r>
                </w:p>
              </w:tc>
            </w:tr>
            <w:tr w:rsidR="009E3512" w:rsidRPr="009E3512" w14:paraId="1622FE39" w14:textId="77777777" w:rsidTr="00EB4684">
              <w:trPr>
                <w:trHeight w:val="530"/>
              </w:trPr>
              <w:tc>
                <w:tcPr>
                  <w:tcW w:w="860" w:type="dxa"/>
                  <w:vMerge/>
                  <w:tcBorders>
                    <w:top w:val="nil"/>
                    <w:left w:val="single" w:sz="4" w:space="0" w:color="auto"/>
                    <w:bottom w:val="single" w:sz="4" w:space="0" w:color="000000"/>
                    <w:right w:val="single" w:sz="4" w:space="0" w:color="auto"/>
                  </w:tcBorders>
                  <w:vAlign w:val="center"/>
                  <w:hideMark/>
                </w:tcPr>
                <w:p w14:paraId="0FF77E02" w14:textId="77777777" w:rsidR="009E3512" w:rsidRPr="009E3512" w:rsidRDefault="009E3512" w:rsidP="009E3512">
                  <w:pPr>
                    <w:rPr>
                      <w:rFonts w:ascii="Calibri" w:hAnsi="Calibri" w:cs="Calibri"/>
                      <w:color w:val="000000"/>
                      <w:sz w:val="20"/>
                      <w:szCs w:val="20"/>
                    </w:rPr>
                  </w:pPr>
                </w:p>
              </w:tc>
              <w:tc>
                <w:tcPr>
                  <w:tcW w:w="5150" w:type="dxa"/>
                  <w:tcBorders>
                    <w:top w:val="nil"/>
                    <w:left w:val="nil"/>
                    <w:bottom w:val="single" w:sz="4" w:space="0" w:color="auto"/>
                    <w:right w:val="single" w:sz="4" w:space="0" w:color="auto"/>
                  </w:tcBorders>
                  <w:shd w:val="clear" w:color="000000" w:fill="FFFFFF"/>
                  <w:vAlign w:val="bottom"/>
                  <w:hideMark/>
                </w:tcPr>
                <w:p w14:paraId="24A9CE12" w14:textId="77777777" w:rsidR="009E3512" w:rsidRPr="009E3512" w:rsidRDefault="009E3512" w:rsidP="009E3512">
                  <w:pPr>
                    <w:rPr>
                      <w:rFonts w:ascii="Calibri" w:hAnsi="Calibri" w:cs="Calibri"/>
                      <w:color w:val="000000"/>
                      <w:sz w:val="20"/>
                      <w:szCs w:val="20"/>
                    </w:rPr>
                  </w:pPr>
                  <w:r w:rsidRPr="009E3512">
                    <w:rPr>
                      <w:rFonts w:ascii="Calibri" w:hAnsi="Calibri" w:cs="Calibri"/>
                      <w:color w:val="000000"/>
                      <w:sz w:val="20"/>
                      <w:szCs w:val="20"/>
                    </w:rPr>
                    <w:t>LED Fixture: High/Low Bay, &gt;=130 LPW, 42 to &lt;60 W</w:t>
                  </w:r>
                </w:p>
              </w:tc>
              <w:tc>
                <w:tcPr>
                  <w:tcW w:w="2790" w:type="dxa"/>
                  <w:tcBorders>
                    <w:top w:val="nil"/>
                    <w:left w:val="nil"/>
                    <w:bottom w:val="single" w:sz="4" w:space="0" w:color="auto"/>
                    <w:right w:val="single" w:sz="4" w:space="0" w:color="auto"/>
                  </w:tcBorders>
                  <w:shd w:val="clear" w:color="000000" w:fill="FFFFFF"/>
                  <w:vAlign w:val="center"/>
                  <w:hideMark/>
                </w:tcPr>
                <w:p w14:paraId="21535CFC" w14:textId="77777777" w:rsidR="009E3512" w:rsidRPr="009E3512" w:rsidRDefault="009E3512" w:rsidP="009E3512">
                  <w:pPr>
                    <w:rPr>
                      <w:rFonts w:ascii="Calibri" w:hAnsi="Calibri" w:cs="Calibri"/>
                      <w:color w:val="000000"/>
                      <w:sz w:val="20"/>
                      <w:szCs w:val="20"/>
                    </w:rPr>
                  </w:pPr>
                  <w:r w:rsidRPr="009E3512">
                    <w:rPr>
                      <w:rFonts w:ascii="Calibri" w:hAnsi="Calibri" w:cs="Calibri"/>
                      <w:color w:val="000000"/>
                      <w:sz w:val="20"/>
                      <w:szCs w:val="20"/>
                    </w:rPr>
                    <w:t>C-In-LEDFixt(59.99w)-dwP21</w:t>
                  </w:r>
                </w:p>
              </w:tc>
            </w:tr>
            <w:tr w:rsidR="009E3512" w:rsidRPr="009E3512" w14:paraId="15F8738B" w14:textId="77777777" w:rsidTr="00EB4684">
              <w:trPr>
                <w:trHeight w:val="530"/>
              </w:trPr>
              <w:tc>
                <w:tcPr>
                  <w:tcW w:w="860" w:type="dxa"/>
                  <w:vMerge/>
                  <w:tcBorders>
                    <w:top w:val="nil"/>
                    <w:left w:val="single" w:sz="4" w:space="0" w:color="auto"/>
                    <w:bottom w:val="single" w:sz="4" w:space="0" w:color="000000"/>
                    <w:right w:val="single" w:sz="4" w:space="0" w:color="auto"/>
                  </w:tcBorders>
                  <w:vAlign w:val="center"/>
                  <w:hideMark/>
                </w:tcPr>
                <w:p w14:paraId="577F9FE8" w14:textId="77777777" w:rsidR="009E3512" w:rsidRPr="009E3512" w:rsidRDefault="009E3512" w:rsidP="009E3512">
                  <w:pPr>
                    <w:rPr>
                      <w:rFonts w:ascii="Calibri" w:hAnsi="Calibri" w:cs="Calibri"/>
                      <w:color w:val="000000"/>
                      <w:sz w:val="20"/>
                      <w:szCs w:val="20"/>
                    </w:rPr>
                  </w:pPr>
                </w:p>
              </w:tc>
              <w:tc>
                <w:tcPr>
                  <w:tcW w:w="5150" w:type="dxa"/>
                  <w:tcBorders>
                    <w:top w:val="nil"/>
                    <w:left w:val="nil"/>
                    <w:bottom w:val="single" w:sz="4" w:space="0" w:color="auto"/>
                    <w:right w:val="single" w:sz="4" w:space="0" w:color="auto"/>
                  </w:tcBorders>
                  <w:shd w:val="clear" w:color="000000" w:fill="FFFFFF"/>
                  <w:vAlign w:val="bottom"/>
                  <w:hideMark/>
                </w:tcPr>
                <w:p w14:paraId="562660E5" w14:textId="77777777" w:rsidR="009E3512" w:rsidRPr="009E3512" w:rsidRDefault="009E3512" w:rsidP="009E3512">
                  <w:pPr>
                    <w:rPr>
                      <w:rFonts w:ascii="Calibri" w:hAnsi="Calibri" w:cs="Calibri"/>
                      <w:color w:val="000000"/>
                      <w:sz w:val="20"/>
                      <w:szCs w:val="20"/>
                    </w:rPr>
                  </w:pPr>
                  <w:r w:rsidRPr="009E3512">
                    <w:rPr>
                      <w:rFonts w:ascii="Calibri" w:hAnsi="Calibri" w:cs="Calibri"/>
                      <w:color w:val="000000"/>
                      <w:sz w:val="20"/>
                      <w:szCs w:val="20"/>
                    </w:rPr>
                    <w:t>LED Fixture: High/Low Bay, &gt;=130 LPW, 60 to &lt;82 W</w:t>
                  </w:r>
                </w:p>
              </w:tc>
              <w:tc>
                <w:tcPr>
                  <w:tcW w:w="2790" w:type="dxa"/>
                  <w:tcBorders>
                    <w:top w:val="nil"/>
                    <w:left w:val="nil"/>
                    <w:bottom w:val="single" w:sz="4" w:space="0" w:color="auto"/>
                    <w:right w:val="single" w:sz="4" w:space="0" w:color="auto"/>
                  </w:tcBorders>
                  <w:shd w:val="clear" w:color="000000" w:fill="FFFFFF"/>
                  <w:vAlign w:val="center"/>
                  <w:hideMark/>
                </w:tcPr>
                <w:p w14:paraId="19601453" w14:textId="77777777" w:rsidR="009E3512" w:rsidRPr="009E3512" w:rsidRDefault="009E3512" w:rsidP="009E3512">
                  <w:pPr>
                    <w:rPr>
                      <w:rFonts w:ascii="Calibri" w:hAnsi="Calibri" w:cs="Calibri"/>
                      <w:color w:val="000000"/>
                      <w:sz w:val="20"/>
                      <w:szCs w:val="20"/>
                    </w:rPr>
                  </w:pPr>
                  <w:r w:rsidRPr="009E3512">
                    <w:rPr>
                      <w:rFonts w:ascii="Calibri" w:hAnsi="Calibri" w:cs="Calibri"/>
                      <w:color w:val="000000"/>
                      <w:sz w:val="20"/>
                      <w:szCs w:val="20"/>
                    </w:rPr>
                    <w:t>C-In-LEDFixt(81.99w)-dwP23.4</w:t>
                  </w:r>
                </w:p>
              </w:tc>
            </w:tr>
            <w:tr w:rsidR="009E3512" w:rsidRPr="009E3512" w14:paraId="7C5873E2" w14:textId="77777777" w:rsidTr="00EB4684">
              <w:trPr>
                <w:trHeight w:val="530"/>
              </w:trPr>
              <w:tc>
                <w:tcPr>
                  <w:tcW w:w="860" w:type="dxa"/>
                  <w:vMerge/>
                  <w:tcBorders>
                    <w:top w:val="nil"/>
                    <w:left w:val="single" w:sz="4" w:space="0" w:color="auto"/>
                    <w:bottom w:val="single" w:sz="4" w:space="0" w:color="000000"/>
                    <w:right w:val="single" w:sz="4" w:space="0" w:color="auto"/>
                  </w:tcBorders>
                  <w:vAlign w:val="center"/>
                  <w:hideMark/>
                </w:tcPr>
                <w:p w14:paraId="77756898" w14:textId="77777777" w:rsidR="009E3512" w:rsidRPr="009E3512" w:rsidRDefault="009E3512" w:rsidP="009E3512">
                  <w:pPr>
                    <w:rPr>
                      <w:rFonts w:ascii="Calibri" w:hAnsi="Calibri" w:cs="Calibri"/>
                      <w:color w:val="000000"/>
                      <w:sz w:val="20"/>
                      <w:szCs w:val="20"/>
                    </w:rPr>
                  </w:pPr>
                </w:p>
              </w:tc>
              <w:tc>
                <w:tcPr>
                  <w:tcW w:w="5150" w:type="dxa"/>
                  <w:tcBorders>
                    <w:top w:val="nil"/>
                    <w:left w:val="nil"/>
                    <w:bottom w:val="single" w:sz="4" w:space="0" w:color="auto"/>
                    <w:right w:val="single" w:sz="4" w:space="0" w:color="auto"/>
                  </w:tcBorders>
                  <w:shd w:val="clear" w:color="000000" w:fill="FFFFFF"/>
                  <w:vAlign w:val="bottom"/>
                  <w:hideMark/>
                </w:tcPr>
                <w:p w14:paraId="6E3A8BE6" w14:textId="77777777" w:rsidR="009E3512" w:rsidRPr="009E3512" w:rsidRDefault="009E3512" w:rsidP="009E3512">
                  <w:pPr>
                    <w:rPr>
                      <w:rFonts w:ascii="Calibri" w:hAnsi="Calibri" w:cs="Calibri"/>
                      <w:color w:val="000000"/>
                      <w:sz w:val="20"/>
                      <w:szCs w:val="20"/>
                    </w:rPr>
                  </w:pPr>
                  <w:r w:rsidRPr="009E3512">
                    <w:rPr>
                      <w:rFonts w:ascii="Calibri" w:hAnsi="Calibri" w:cs="Calibri"/>
                      <w:color w:val="000000"/>
                      <w:sz w:val="20"/>
                      <w:szCs w:val="20"/>
                    </w:rPr>
                    <w:t>LED Fixture: High/Low Bay, &gt;=130 LPW, 82 to &lt;113 W</w:t>
                  </w:r>
                </w:p>
              </w:tc>
              <w:tc>
                <w:tcPr>
                  <w:tcW w:w="2790" w:type="dxa"/>
                  <w:tcBorders>
                    <w:top w:val="nil"/>
                    <w:left w:val="nil"/>
                    <w:bottom w:val="single" w:sz="4" w:space="0" w:color="auto"/>
                    <w:right w:val="single" w:sz="4" w:space="0" w:color="auto"/>
                  </w:tcBorders>
                  <w:shd w:val="clear" w:color="000000" w:fill="FFFFFF"/>
                  <w:vAlign w:val="center"/>
                  <w:hideMark/>
                </w:tcPr>
                <w:p w14:paraId="5715D9FC" w14:textId="77777777" w:rsidR="009E3512" w:rsidRPr="009E3512" w:rsidRDefault="009E3512" w:rsidP="009E3512">
                  <w:pPr>
                    <w:rPr>
                      <w:rFonts w:ascii="Calibri" w:hAnsi="Calibri" w:cs="Calibri"/>
                      <w:color w:val="000000"/>
                      <w:sz w:val="20"/>
                      <w:szCs w:val="20"/>
                    </w:rPr>
                  </w:pPr>
                  <w:r w:rsidRPr="009E3512">
                    <w:rPr>
                      <w:rFonts w:ascii="Calibri" w:hAnsi="Calibri" w:cs="Calibri"/>
                      <w:color w:val="000000"/>
                      <w:sz w:val="20"/>
                      <w:szCs w:val="20"/>
                    </w:rPr>
                    <w:t>C-In-LEDFixt(112.99w)-dwP29.6</w:t>
                  </w:r>
                </w:p>
              </w:tc>
            </w:tr>
            <w:tr w:rsidR="00EB4684" w:rsidRPr="009E3512" w14:paraId="618D2DAE" w14:textId="77777777" w:rsidTr="00EB4684">
              <w:trPr>
                <w:trHeight w:val="790"/>
              </w:trPr>
              <w:tc>
                <w:tcPr>
                  <w:tcW w:w="860" w:type="dxa"/>
                  <w:tcBorders>
                    <w:top w:val="nil"/>
                    <w:left w:val="single" w:sz="4" w:space="0" w:color="auto"/>
                    <w:bottom w:val="single" w:sz="4" w:space="0" w:color="auto"/>
                    <w:right w:val="single" w:sz="4" w:space="0" w:color="auto"/>
                  </w:tcBorders>
                  <w:shd w:val="clear" w:color="000000" w:fill="FFFFFF"/>
                  <w:vAlign w:val="center"/>
                  <w:hideMark/>
                </w:tcPr>
                <w:p w14:paraId="68628F0C" w14:textId="77777777" w:rsidR="009E3512" w:rsidRPr="009E3512" w:rsidRDefault="009E3512" w:rsidP="009E3512">
                  <w:pPr>
                    <w:jc w:val="center"/>
                    <w:rPr>
                      <w:rFonts w:ascii="Calibri" w:hAnsi="Calibri" w:cs="Calibri"/>
                      <w:color w:val="000000"/>
                      <w:sz w:val="20"/>
                      <w:szCs w:val="20"/>
                    </w:rPr>
                  </w:pPr>
                  <w:r w:rsidRPr="009E3512">
                    <w:rPr>
                      <w:rFonts w:ascii="Calibri" w:hAnsi="Calibri" w:cs="Calibri"/>
                      <w:color w:val="000000"/>
                      <w:sz w:val="20"/>
                      <w:szCs w:val="20"/>
                    </w:rPr>
                    <w:t>Tier 1</w:t>
                  </w:r>
                </w:p>
              </w:tc>
              <w:tc>
                <w:tcPr>
                  <w:tcW w:w="5150" w:type="dxa"/>
                  <w:tcBorders>
                    <w:top w:val="nil"/>
                    <w:left w:val="nil"/>
                    <w:bottom w:val="single" w:sz="4" w:space="0" w:color="auto"/>
                    <w:right w:val="single" w:sz="4" w:space="0" w:color="auto"/>
                  </w:tcBorders>
                  <w:shd w:val="clear" w:color="000000" w:fill="FFFFFF"/>
                  <w:vAlign w:val="bottom"/>
                  <w:hideMark/>
                </w:tcPr>
                <w:p w14:paraId="2816B992" w14:textId="77777777" w:rsidR="009E3512" w:rsidRPr="009E3512" w:rsidRDefault="009E3512" w:rsidP="009E3512">
                  <w:pPr>
                    <w:rPr>
                      <w:rFonts w:ascii="Calibri" w:hAnsi="Calibri" w:cs="Calibri"/>
                      <w:color w:val="000000"/>
                      <w:sz w:val="20"/>
                      <w:szCs w:val="20"/>
                    </w:rPr>
                  </w:pPr>
                  <w:r w:rsidRPr="009E3512">
                    <w:rPr>
                      <w:rFonts w:ascii="Calibri" w:hAnsi="Calibri" w:cs="Calibri"/>
                      <w:color w:val="000000"/>
                      <w:sz w:val="20"/>
                      <w:szCs w:val="20"/>
                    </w:rPr>
                    <w:t>LED Fixture: High/Low Bay, 120 LPW to &lt;130 LPW, 125 to &lt;153 W</w:t>
                  </w:r>
                </w:p>
              </w:tc>
              <w:tc>
                <w:tcPr>
                  <w:tcW w:w="2790" w:type="dxa"/>
                  <w:tcBorders>
                    <w:top w:val="nil"/>
                    <w:left w:val="nil"/>
                    <w:bottom w:val="single" w:sz="4" w:space="0" w:color="auto"/>
                    <w:right w:val="single" w:sz="4" w:space="0" w:color="auto"/>
                  </w:tcBorders>
                  <w:shd w:val="clear" w:color="000000" w:fill="FFFFFF"/>
                  <w:vAlign w:val="center"/>
                  <w:hideMark/>
                </w:tcPr>
                <w:p w14:paraId="0AD9D355" w14:textId="77777777" w:rsidR="009E3512" w:rsidRPr="009E3512" w:rsidRDefault="009E3512" w:rsidP="009E3512">
                  <w:pPr>
                    <w:rPr>
                      <w:rFonts w:ascii="Calibri" w:hAnsi="Calibri" w:cs="Calibri"/>
                      <w:color w:val="000000"/>
                      <w:sz w:val="20"/>
                      <w:szCs w:val="20"/>
                    </w:rPr>
                  </w:pPr>
                  <w:r w:rsidRPr="009E3512">
                    <w:rPr>
                      <w:rFonts w:ascii="Calibri" w:hAnsi="Calibri" w:cs="Calibri"/>
                      <w:color w:val="000000"/>
                      <w:sz w:val="20"/>
                      <w:szCs w:val="20"/>
                    </w:rPr>
                    <w:t>C-In-LEDFixt(152.99w)-dwP23.7</w:t>
                  </w:r>
                </w:p>
              </w:tc>
            </w:tr>
            <w:tr w:rsidR="00EB4684" w:rsidRPr="009E3512" w14:paraId="6104BF56" w14:textId="77777777" w:rsidTr="00EB4684">
              <w:trPr>
                <w:trHeight w:val="530"/>
              </w:trPr>
              <w:tc>
                <w:tcPr>
                  <w:tcW w:w="860" w:type="dxa"/>
                  <w:tcBorders>
                    <w:top w:val="nil"/>
                    <w:left w:val="single" w:sz="4" w:space="0" w:color="auto"/>
                    <w:bottom w:val="single" w:sz="4" w:space="0" w:color="auto"/>
                    <w:right w:val="single" w:sz="4" w:space="0" w:color="auto"/>
                  </w:tcBorders>
                  <w:shd w:val="clear" w:color="000000" w:fill="FFFFFF"/>
                  <w:vAlign w:val="center"/>
                  <w:hideMark/>
                </w:tcPr>
                <w:p w14:paraId="001E6932" w14:textId="77777777" w:rsidR="009E3512" w:rsidRPr="009E3512" w:rsidRDefault="009E3512" w:rsidP="009E3512">
                  <w:pPr>
                    <w:jc w:val="center"/>
                    <w:rPr>
                      <w:rFonts w:ascii="Calibri" w:hAnsi="Calibri" w:cs="Calibri"/>
                      <w:color w:val="000000"/>
                      <w:sz w:val="20"/>
                      <w:szCs w:val="20"/>
                    </w:rPr>
                  </w:pPr>
                  <w:r w:rsidRPr="009E3512">
                    <w:rPr>
                      <w:rFonts w:ascii="Calibri" w:hAnsi="Calibri" w:cs="Calibri"/>
                      <w:color w:val="000000"/>
                      <w:sz w:val="20"/>
                      <w:szCs w:val="20"/>
                    </w:rPr>
                    <w:t>Tier 2</w:t>
                  </w:r>
                </w:p>
              </w:tc>
              <w:tc>
                <w:tcPr>
                  <w:tcW w:w="5150" w:type="dxa"/>
                  <w:tcBorders>
                    <w:top w:val="nil"/>
                    <w:left w:val="nil"/>
                    <w:bottom w:val="single" w:sz="4" w:space="0" w:color="auto"/>
                    <w:right w:val="single" w:sz="4" w:space="0" w:color="auto"/>
                  </w:tcBorders>
                  <w:shd w:val="clear" w:color="000000" w:fill="FFFFFF"/>
                  <w:vAlign w:val="bottom"/>
                  <w:hideMark/>
                </w:tcPr>
                <w:p w14:paraId="29B655BE" w14:textId="77777777" w:rsidR="009E3512" w:rsidRPr="009E3512" w:rsidRDefault="009E3512" w:rsidP="009E3512">
                  <w:pPr>
                    <w:rPr>
                      <w:rFonts w:ascii="Calibri" w:hAnsi="Calibri" w:cs="Calibri"/>
                      <w:color w:val="000000"/>
                      <w:sz w:val="20"/>
                      <w:szCs w:val="20"/>
                    </w:rPr>
                  </w:pPr>
                  <w:r w:rsidRPr="009E3512">
                    <w:rPr>
                      <w:rFonts w:ascii="Calibri" w:hAnsi="Calibri" w:cs="Calibri"/>
                      <w:color w:val="000000"/>
                      <w:sz w:val="20"/>
                      <w:szCs w:val="20"/>
                    </w:rPr>
                    <w:t>LED Fixture: High/Low Bay, &gt;=130 LPW, 113 to &lt;140 W</w:t>
                  </w:r>
                </w:p>
              </w:tc>
              <w:tc>
                <w:tcPr>
                  <w:tcW w:w="2790" w:type="dxa"/>
                  <w:tcBorders>
                    <w:top w:val="nil"/>
                    <w:left w:val="nil"/>
                    <w:bottom w:val="single" w:sz="4" w:space="0" w:color="auto"/>
                    <w:right w:val="single" w:sz="4" w:space="0" w:color="auto"/>
                  </w:tcBorders>
                  <w:shd w:val="clear" w:color="000000" w:fill="FFFFFF"/>
                  <w:vAlign w:val="center"/>
                  <w:hideMark/>
                </w:tcPr>
                <w:p w14:paraId="530424CD" w14:textId="77777777" w:rsidR="009E3512" w:rsidRPr="009E3512" w:rsidRDefault="009E3512" w:rsidP="009E3512">
                  <w:pPr>
                    <w:rPr>
                      <w:rFonts w:ascii="Calibri" w:hAnsi="Calibri" w:cs="Calibri"/>
                      <w:color w:val="000000"/>
                      <w:sz w:val="20"/>
                      <w:szCs w:val="20"/>
                    </w:rPr>
                  </w:pPr>
                  <w:r w:rsidRPr="009E3512">
                    <w:rPr>
                      <w:rFonts w:ascii="Calibri" w:hAnsi="Calibri" w:cs="Calibri"/>
                      <w:color w:val="000000"/>
                      <w:sz w:val="20"/>
                      <w:szCs w:val="20"/>
                    </w:rPr>
                    <w:t>C-In-LEDFixt(139.99w)-dwP36.7</w:t>
                  </w:r>
                </w:p>
              </w:tc>
            </w:tr>
            <w:tr w:rsidR="00EB4684" w:rsidRPr="009E3512" w14:paraId="4BE34368" w14:textId="77777777" w:rsidTr="00EB4684">
              <w:trPr>
                <w:trHeight w:val="790"/>
              </w:trPr>
              <w:tc>
                <w:tcPr>
                  <w:tcW w:w="860" w:type="dxa"/>
                  <w:tcBorders>
                    <w:top w:val="nil"/>
                    <w:left w:val="single" w:sz="4" w:space="0" w:color="auto"/>
                    <w:bottom w:val="single" w:sz="4" w:space="0" w:color="auto"/>
                    <w:right w:val="single" w:sz="4" w:space="0" w:color="auto"/>
                  </w:tcBorders>
                  <w:shd w:val="clear" w:color="000000" w:fill="FFFFFF"/>
                  <w:vAlign w:val="center"/>
                  <w:hideMark/>
                </w:tcPr>
                <w:p w14:paraId="0E2D318B" w14:textId="77777777" w:rsidR="009E3512" w:rsidRPr="009E3512" w:rsidRDefault="009E3512" w:rsidP="009E3512">
                  <w:pPr>
                    <w:jc w:val="center"/>
                    <w:rPr>
                      <w:rFonts w:ascii="Calibri" w:hAnsi="Calibri" w:cs="Calibri"/>
                      <w:color w:val="000000"/>
                      <w:sz w:val="20"/>
                      <w:szCs w:val="20"/>
                    </w:rPr>
                  </w:pPr>
                  <w:r w:rsidRPr="009E3512">
                    <w:rPr>
                      <w:rFonts w:ascii="Calibri" w:hAnsi="Calibri" w:cs="Calibri"/>
                      <w:color w:val="000000"/>
                      <w:sz w:val="20"/>
                      <w:szCs w:val="20"/>
                    </w:rPr>
                    <w:t>Tier 1</w:t>
                  </w:r>
                </w:p>
              </w:tc>
              <w:tc>
                <w:tcPr>
                  <w:tcW w:w="5150" w:type="dxa"/>
                  <w:tcBorders>
                    <w:top w:val="nil"/>
                    <w:left w:val="nil"/>
                    <w:bottom w:val="single" w:sz="4" w:space="0" w:color="auto"/>
                    <w:right w:val="single" w:sz="4" w:space="0" w:color="auto"/>
                  </w:tcBorders>
                  <w:shd w:val="clear" w:color="000000" w:fill="FFFFFF"/>
                  <w:vAlign w:val="bottom"/>
                  <w:hideMark/>
                </w:tcPr>
                <w:p w14:paraId="76D2592A" w14:textId="77777777" w:rsidR="009E3512" w:rsidRPr="009E3512" w:rsidRDefault="009E3512" w:rsidP="009E3512">
                  <w:pPr>
                    <w:rPr>
                      <w:rFonts w:ascii="Calibri" w:hAnsi="Calibri" w:cs="Calibri"/>
                      <w:color w:val="000000"/>
                      <w:sz w:val="20"/>
                      <w:szCs w:val="20"/>
                    </w:rPr>
                  </w:pPr>
                  <w:r w:rsidRPr="009E3512">
                    <w:rPr>
                      <w:rFonts w:ascii="Calibri" w:hAnsi="Calibri" w:cs="Calibri"/>
                      <w:color w:val="000000"/>
                      <w:sz w:val="20"/>
                      <w:szCs w:val="20"/>
                    </w:rPr>
                    <w:t>LED Fixture: High/Low Bay, 125 LPW to &lt;135 LPW, 153 to &lt;187 W</w:t>
                  </w:r>
                </w:p>
              </w:tc>
              <w:tc>
                <w:tcPr>
                  <w:tcW w:w="2790" w:type="dxa"/>
                  <w:tcBorders>
                    <w:top w:val="nil"/>
                    <w:left w:val="nil"/>
                    <w:bottom w:val="single" w:sz="4" w:space="0" w:color="auto"/>
                    <w:right w:val="single" w:sz="4" w:space="0" w:color="auto"/>
                  </w:tcBorders>
                  <w:shd w:val="clear" w:color="000000" w:fill="FFFFFF"/>
                  <w:vAlign w:val="center"/>
                  <w:hideMark/>
                </w:tcPr>
                <w:p w14:paraId="7EB39EE2" w14:textId="77777777" w:rsidR="009E3512" w:rsidRPr="009E3512" w:rsidRDefault="009E3512" w:rsidP="009E3512">
                  <w:pPr>
                    <w:rPr>
                      <w:rFonts w:ascii="Calibri" w:hAnsi="Calibri" w:cs="Calibri"/>
                      <w:color w:val="000000"/>
                      <w:sz w:val="20"/>
                      <w:szCs w:val="20"/>
                    </w:rPr>
                  </w:pPr>
                  <w:r w:rsidRPr="009E3512">
                    <w:rPr>
                      <w:rFonts w:ascii="Calibri" w:hAnsi="Calibri" w:cs="Calibri"/>
                      <w:color w:val="000000"/>
                      <w:sz w:val="20"/>
                      <w:szCs w:val="20"/>
                    </w:rPr>
                    <w:t>C-In-LEDFixt(186.99w)-dwP36.9</w:t>
                  </w:r>
                </w:p>
              </w:tc>
            </w:tr>
            <w:tr w:rsidR="00EB4684" w:rsidRPr="009E3512" w14:paraId="39DCAC27" w14:textId="77777777" w:rsidTr="00EB4684">
              <w:trPr>
                <w:trHeight w:val="530"/>
              </w:trPr>
              <w:tc>
                <w:tcPr>
                  <w:tcW w:w="860" w:type="dxa"/>
                  <w:tcBorders>
                    <w:top w:val="nil"/>
                    <w:left w:val="single" w:sz="4" w:space="0" w:color="auto"/>
                    <w:bottom w:val="single" w:sz="4" w:space="0" w:color="auto"/>
                    <w:right w:val="single" w:sz="4" w:space="0" w:color="auto"/>
                  </w:tcBorders>
                  <w:shd w:val="clear" w:color="000000" w:fill="FFFFFF"/>
                  <w:vAlign w:val="center"/>
                  <w:hideMark/>
                </w:tcPr>
                <w:p w14:paraId="689DB7A2" w14:textId="77777777" w:rsidR="009E3512" w:rsidRPr="009E3512" w:rsidRDefault="009E3512" w:rsidP="009E3512">
                  <w:pPr>
                    <w:jc w:val="center"/>
                    <w:rPr>
                      <w:rFonts w:ascii="Calibri" w:hAnsi="Calibri" w:cs="Calibri"/>
                      <w:color w:val="000000"/>
                      <w:sz w:val="20"/>
                      <w:szCs w:val="20"/>
                    </w:rPr>
                  </w:pPr>
                  <w:r w:rsidRPr="009E3512">
                    <w:rPr>
                      <w:rFonts w:ascii="Calibri" w:hAnsi="Calibri" w:cs="Calibri"/>
                      <w:color w:val="000000"/>
                      <w:sz w:val="20"/>
                      <w:szCs w:val="20"/>
                    </w:rPr>
                    <w:t>Tier 2</w:t>
                  </w:r>
                </w:p>
              </w:tc>
              <w:tc>
                <w:tcPr>
                  <w:tcW w:w="5150" w:type="dxa"/>
                  <w:tcBorders>
                    <w:top w:val="nil"/>
                    <w:left w:val="nil"/>
                    <w:bottom w:val="single" w:sz="4" w:space="0" w:color="auto"/>
                    <w:right w:val="single" w:sz="4" w:space="0" w:color="auto"/>
                  </w:tcBorders>
                  <w:shd w:val="clear" w:color="000000" w:fill="FFFFFF"/>
                  <w:vAlign w:val="bottom"/>
                  <w:hideMark/>
                </w:tcPr>
                <w:p w14:paraId="059AAD4D" w14:textId="77777777" w:rsidR="009E3512" w:rsidRPr="009E3512" w:rsidRDefault="009E3512" w:rsidP="009E3512">
                  <w:pPr>
                    <w:rPr>
                      <w:rFonts w:ascii="Calibri" w:hAnsi="Calibri" w:cs="Calibri"/>
                      <w:color w:val="000000"/>
                      <w:sz w:val="20"/>
                      <w:szCs w:val="20"/>
                    </w:rPr>
                  </w:pPr>
                  <w:r w:rsidRPr="009E3512">
                    <w:rPr>
                      <w:rFonts w:ascii="Calibri" w:hAnsi="Calibri" w:cs="Calibri"/>
                      <w:color w:val="000000"/>
                      <w:sz w:val="20"/>
                      <w:szCs w:val="20"/>
                    </w:rPr>
                    <w:t>LED Fixture: High/Low Bay, &gt;=135 LPW, 140 to &lt;174 W</w:t>
                  </w:r>
                </w:p>
              </w:tc>
              <w:tc>
                <w:tcPr>
                  <w:tcW w:w="2790" w:type="dxa"/>
                  <w:tcBorders>
                    <w:top w:val="nil"/>
                    <w:left w:val="nil"/>
                    <w:bottom w:val="single" w:sz="4" w:space="0" w:color="auto"/>
                    <w:right w:val="single" w:sz="4" w:space="0" w:color="auto"/>
                  </w:tcBorders>
                  <w:shd w:val="clear" w:color="000000" w:fill="FFFFFF"/>
                  <w:vAlign w:val="center"/>
                  <w:hideMark/>
                </w:tcPr>
                <w:p w14:paraId="19F72895" w14:textId="77777777" w:rsidR="009E3512" w:rsidRPr="009E3512" w:rsidRDefault="009E3512" w:rsidP="009E3512">
                  <w:pPr>
                    <w:rPr>
                      <w:rFonts w:ascii="Calibri" w:hAnsi="Calibri" w:cs="Calibri"/>
                      <w:color w:val="000000"/>
                      <w:sz w:val="20"/>
                      <w:szCs w:val="20"/>
                    </w:rPr>
                  </w:pPr>
                  <w:r w:rsidRPr="009E3512">
                    <w:rPr>
                      <w:rFonts w:ascii="Calibri" w:hAnsi="Calibri" w:cs="Calibri"/>
                      <w:color w:val="000000"/>
                      <w:sz w:val="20"/>
                      <w:szCs w:val="20"/>
                    </w:rPr>
                    <w:t>C-In-LEDFixt(173.99w)-dwP49.9</w:t>
                  </w:r>
                </w:p>
              </w:tc>
            </w:tr>
            <w:tr w:rsidR="00EB4684" w:rsidRPr="009E3512" w14:paraId="416D70D4" w14:textId="77777777" w:rsidTr="00EB4684">
              <w:trPr>
                <w:trHeight w:val="790"/>
              </w:trPr>
              <w:tc>
                <w:tcPr>
                  <w:tcW w:w="860" w:type="dxa"/>
                  <w:tcBorders>
                    <w:top w:val="nil"/>
                    <w:left w:val="single" w:sz="4" w:space="0" w:color="auto"/>
                    <w:bottom w:val="single" w:sz="4" w:space="0" w:color="auto"/>
                    <w:right w:val="single" w:sz="4" w:space="0" w:color="auto"/>
                  </w:tcBorders>
                  <w:shd w:val="clear" w:color="000000" w:fill="FFFFFF"/>
                  <w:vAlign w:val="center"/>
                  <w:hideMark/>
                </w:tcPr>
                <w:p w14:paraId="61C52DB5" w14:textId="77777777" w:rsidR="009E3512" w:rsidRPr="009E3512" w:rsidRDefault="009E3512" w:rsidP="009E3512">
                  <w:pPr>
                    <w:jc w:val="center"/>
                    <w:rPr>
                      <w:rFonts w:ascii="Calibri" w:hAnsi="Calibri" w:cs="Calibri"/>
                      <w:color w:val="000000"/>
                      <w:sz w:val="20"/>
                      <w:szCs w:val="20"/>
                    </w:rPr>
                  </w:pPr>
                  <w:r w:rsidRPr="009E3512">
                    <w:rPr>
                      <w:rFonts w:ascii="Calibri" w:hAnsi="Calibri" w:cs="Calibri"/>
                      <w:color w:val="000000"/>
                      <w:sz w:val="20"/>
                      <w:szCs w:val="20"/>
                    </w:rPr>
                    <w:t>Tier 1</w:t>
                  </w:r>
                </w:p>
              </w:tc>
              <w:tc>
                <w:tcPr>
                  <w:tcW w:w="5150" w:type="dxa"/>
                  <w:tcBorders>
                    <w:top w:val="nil"/>
                    <w:left w:val="nil"/>
                    <w:bottom w:val="single" w:sz="4" w:space="0" w:color="auto"/>
                    <w:right w:val="single" w:sz="4" w:space="0" w:color="auto"/>
                  </w:tcBorders>
                  <w:shd w:val="clear" w:color="000000" w:fill="FFFFFF"/>
                  <w:vAlign w:val="bottom"/>
                  <w:hideMark/>
                </w:tcPr>
                <w:p w14:paraId="647754EA" w14:textId="77777777" w:rsidR="009E3512" w:rsidRPr="009E3512" w:rsidRDefault="009E3512" w:rsidP="009E3512">
                  <w:pPr>
                    <w:rPr>
                      <w:rFonts w:ascii="Calibri" w:hAnsi="Calibri" w:cs="Calibri"/>
                      <w:color w:val="000000"/>
                      <w:sz w:val="20"/>
                      <w:szCs w:val="20"/>
                    </w:rPr>
                  </w:pPr>
                  <w:r w:rsidRPr="009E3512">
                    <w:rPr>
                      <w:rFonts w:ascii="Calibri" w:hAnsi="Calibri" w:cs="Calibri"/>
                      <w:color w:val="000000"/>
                      <w:sz w:val="20"/>
                      <w:szCs w:val="20"/>
                    </w:rPr>
                    <w:t>LED Fixture: High/Low Bay, 125 LPW to &lt;135 LPW, 187 to &lt;212 W</w:t>
                  </w:r>
                </w:p>
              </w:tc>
              <w:tc>
                <w:tcPr>
                  <w:tcW w:w="2790" w:type="dxa"/>
                  <w:tcBorders>
                    <w:top w:val="nil"/>
                    <w:left w:val="nil"/>
                    <w:bottom w:val="single" w:sz="4" w:space="0" w:color="auto"/>
                    <w:right w:val="single" w:sz="4" w:space="0" w:color="auto"/>
                  </w:tcBorders>
                  <w:shd w:val="clear" w:color="000000" w:fill="FFFFFF"/>
                  <w:vAlign w:val="center"/>
                  <w:hideMark/>
                </w:tcPr>
                <w:p w14:paraId="51017EE1" w14:textId="77777777" w:rsidR="009E3512" w:rsidRPr="009E3512" w:rsidRDefault="009E3512" w:rsidP="009E3512">
                  <w:pPr>
                    <w:rPr>
                      <w:rFonts w:ascii="Calibri" w:hAnsi="Calibri" w:cs="Calibri"/>
                      <w:color w:val="000000"/>
                      <w:sz w:val="20"/>
                      <w:szCs w:val="20"/>
                    </w:rPr>
                  </w:pPr>
                  <w:r w:rsidRPr="009E3512">
                    <w:rPr>
                      <w:rFonts w:ascii="Calibri" w:hAnsi="Calibri" w:cs="Calibri"/>
                      <w:color w:val="000000"/>
                      <w:sz w:val="20"/>
                      <w:szCs w:val="20"/>
                    </w:rPr>
                    <w:t>C-In-LEDFixt(211.99w)-dwP8.3</w:t>
                  </w:r>
                </w:p>
              </w:tc>
            </w:tr>
            <w:tr w:rsidR="00EB4684" w:rsidRPr="009E3512" w14:paraId="5F10DDE0" w14:textId="77777777" w:rsidTr="00EB4684">
              <w:trPr>
                <w:trHeight w:val="530"/>
              </w:trPr>
              <w:tc>
                <w:tcPr>
                  <w:tcW w:w="860" w:type="dxa"/>
                  <w:tcBorders>
                    <w:top w:val="nil"/>
                    <w:left w:val="single" w:sz="4" w:space="0" w:color="auto"/>
                    <w:bottom w:val="single" w:sz="4" w:space="0" w:color="auto"/>
                    <w:right w:val="single" w:sz="4" w:space="0" w:color="auto"/>
                  </w:tcBorders>
                  <w:shd w:val="clear" w:color="000000" w:fill="FFFFFF"/>
                  <w:vAlign w:val="center"/>
                  <w:hideMark/>
                </w:tcPr>
                <w:p w14:paraId="1E8E4EDB" w14:textId="77777777" w:rsidR="009E3512" w:rsidRPr="009E3512" w:rsidRDefault="009E3512" w:rsidP="009E3512">
                  <w:pPr>
                    <w:jc w:val="center"/>
                    <w:rPr>
                      <w:rFonts w:ascii="Calibri" w:hAnsi="Calibri" w:cs="Calibri"/>
                      <w:color w:val="000000"/>
                      <w:sz w:val="20"/>
                      <w:szCs w:val="20"/>
                    </w:rPr>
                  </w:pPr>
                  <w:r w:rsidRPr="009E3512">
                    <w:rPr>
                      <w:rFonts w:ascii="Calibri" w:hAnsi="Calibri" w:cs="Calibri"/>
                      <w:color w:val="000000"/>
                      <w:sz w:val="20"/>
                      <w:szCs w:val="20"/>
                    </w:rPr>
                    <w:t>Tier 2</w:t>
                  </w:r>
                </w:p>
              </w:tc>
              <w:tc>
                <w:tcPr>
                  <w:tcW w:w="5150" w:type="dxa"/>
                  <w:tcBorders>
                    <w:top w:val="nil"/>
                    <w:left w:val="nil"/>
                    <w:bottom w:val="single" w:sz="4" w:space="0" w:color="auto"/>
                    <w:right w:val="single" w:sz="4" w:space="0" w:color="auto"/>
                  </w:tcBorders>
                  <w:shd w:val="clear" w:color="000000" w:fill="FFFFFF"/>
                  <w:vAlign w:val="bottom"/>
                  <w:hideMark/>
                </w:tcPr>
                <w:p w14:paraId="5473F93B" w14:textId="77777777" w:rsidR="009E3512" w:rsidRPr="009E3512" w:rsidRDefault="009E3512" w:rsidP="009E3512">
                  <w:pPr>
                    <w:rPr>
                      <w:rFonts w:ascii="Calibri" w:hAnsi="Calibri" w:cs="Calibri"/>
                      <w:color w:val="000000"/>
                      <w:sz w:val="20"/>
                      <w:szCs w:val="20"/>
                    </w:rPr>
                  </w:pPr>
                  <w:r w:rsidRPr="009E3512">
                    <w:rPr>
                      <w:rFonts w:ascii="Calibri" w:hAnsi="Calibri" w:cs="Calibri"/>
                      <w:color w:val="000000"/>
                      <w:sz w:val="20"/>
                      <w:szCs w:val="20"/>
                    </w:rPr>
                    <w:t>LED Fixture: High/Low Bay, &gt;=135 LPW, 174 to &lt;194 W</w:t>
                  </w:r>
                </w:p>
              </w:tc>
              <w:tc>
                <w:tcPr>
                  <w:tcW w:w="2790" w:type="dxa"/>
                  <w:tcBorders>
                    <w:top w:val="nil"/>
                    <w:left w:val="nil"/>
                    <w:bottom w:val="single" w:sz="4" w:space="0" w:color="auto"/>
                    <w:right w:val="single" w:sz="4" w:space="0" w:color="auto"/>
                  </w:tcBorders>
                  <w:shd w:val="clear" w:color="000000" w:fill="FFFFFF"/>
                  <w:vAlign w:val="center"/>
                  <w:hideMark/>
                </w:tcPr>
                <w:p w14:paraId="002D25D4" w14:textId="77777777" w:rsidR="009E3512" w:rsidRPr="009E3512" w:rsidRDefault="009E3512" w:rsidP="009E3512">
                  <w:pPr>
                    <w:rPr>
                      <w:rFonts w:ascii="Calibri" w:hAnsi="Calibri" w:cs="Calibri"/>
                      <w:color w:val="000000"/>
                      <w:sz w:val="20"/>
                      <w:szCs w:val="20"/>
                    </w:rPr>
                  </w:pPr>
                  <w:r w:rsidRPr="009E3512">
                    <w:rPr>
                      <w:rFonts w:ascii="Calibri" w:hAnsi="Calibri" w:cs="Calibri"/>
                      <w:color w:val="000000"/>
                      <w:sz w:val="20"/>
                      <w:szCs w:val="20"/>
                    </w:rPr>
                    <w:t>C-In-LEDFixt(193.99w)-dwP26.3</w:t>
                  </w:r>
                </w:p>
              </w:tc>
            </w:tr>
            <w:tr w:rsidR="00EB4684" w:rsidRPr="009E3512" w14:paraId="7B41A560" w14:textId="77777777" w:rsidTr="00EB4684">
              <w:trPr>
                <w:trHeight w:val="790"/>
              </w:trPr>
              <w:tc>
                <w:tcPr>
                  <w:tcW w:w="860" w:type="dxa"/>
                  <w:tcBorders>
                    <w:top w:val="nil"/>
                    <w:left w:val="single" w:sz="4" w:space="0" w:color="auto"/>
                    <w:bottom w:val="single" w:sz="4" w:space="0" w:color="auto"/>
                    <w:right w:val="single" w:sz="4" w:space="0" w:color="auto"/>
                  </w:tcBorders>
                  <w:shd w:val="clear" w:color="000000" w:fill="FFFFFF"/>
                  <w:vAlign w:val="center"/>
                  <w:hideMark/>
                </w:tcPr>
                <w:p w14:paraId="251CCC7F" w14:textId="77777777" w:rsidR="009E3512" w:rsidRPr="009E3512" w:rsidRDefault="009E3512" w:rsidP="009E3512">
                  <w:pPr>
                    <w:jc w:val="center"/>
                    <w:rPr>
                      <w:rFonts w:ascii="Calibri" w:hAnsi="Calibri" w:cs="Calibri"/>
                      <w:color w:val="000000"/>
                      <w:sz w:val="20"/>
                      <w:szCs w:val="20"/>
                    </w:rPr>
                  </w:pPr>
                  <w:r w:rsidRPr="009E3512">
                    <w:rPr>
                      <w:rFonts w:ascii="Calibri" w:hAnsi="Calibri" w:cs="Calibri"/>
                      <w:color w:val="000000"/>
                      <w:sz w:val="20"/>
                      <w:szCs w:val="20"/>
                    </w:rPr>
                    <w:t>Tier 1</w:t>
                  </w:r>
                </w:p>
              </w:tc>
              <w:tc>
                <w:tcPr>
                  <w:tcW w:w="5150" w:type="dxa"/>
                  <w:tcBorders>
                    <w:top w:val="nil"/>
                    <w:left w:val="nil"/>
                    <w:bottom w:val="single" w:sz="4" w:space="0" w:color="auto"/>
                    <w:right w:val="single" w:sz="4" w:space="0" w:color="auto"/>
                  </w:tcBorders>
                  <w:shd w:val="clear" w:color="000000" w:fill="FFFFFF"/>
                  <w:vAlign w:val="bottom"/>
                  <w:hideMark/>
                </w:tcPr>
                <w:p w14:paraId="5CDDD823" w14:textId="77777777" w:rsidR="009E3512" w:rsidRPr="009E3512" w:rsidRDefault="009E3512" w:rsidP="009E3512">
                  <w:pPr>
                    <w:rPr>
                      <w:rFonts w:ascii="Calibri" w:hAnsi="Calibri" w:cs="Calibri"/>
                      <w:color w:val="000000"/>
                      <w:sz w:val="20"/>
                      <w:szCs w:val="20"/>
                    </w:rPr>
                  </w:pPr>
                  <w:r w:rsidRPr="009E3512">
                    <w:rPr>
                      <w:rFonts w:ascii="Calibri" w:hAnsi="Calibri" w:cs="Calibri"/>
                      <w:color w:val="000000"/>
                      <w:sz w:val="20"/>
                      <w:szCs w:val="20"/>
                    </w:rPr>
                    <w:t>LED Fixture: High/Low Bay, 125 LPW to &lt;135 LPW, 212 to &lt;246 W</w:t>
                  </w:r>
                </w:p>
              </w:tc>
              <w:tc>
                <w:tcPr>
                  <w:tcW w:w="2790" w:type="dxa"/>
                  <w:tcBorders>
                    <w:top w:val="nil"/>
                    <w:left w:val="nil"/>
                    <w:bottom w:val="single" w:sz="4" w:space="0" w:color="auto"/>
                    <w:right w:val="single" w:sz="4" w:space="0" w:color="auto"/>
                  </w:tcBorders>
                  <w:shd w:val="clear" w:color="000000" w:fill="FFFFFF"/>
                  <w:vAlign w:val="center"/>
                  <w:hideMark/>
                </w:tcPr>
                <w:p w14:paraId="45B992CD" w14:textId="77777777" w:rsidR="009E3512" w:rsidRPr="009E3512" w:rsidRDefault="009E3512" w:rsidP="009E3512">
                  <w:pPr>
                    <w:rPr>
                      <w:rFonts w:ascii="Calibri" w:hAnsi="Calibri" w:cs="Calibri"/>
                      <w:color w:val="000000"/>
                      <w:sz w:val="20"/>
                      <w:szCs w:val="20"/>
                    </w:rPr>
                  </w:pPr>
                  <w:r w:rsidRPr="009E3512">
                    <w:rPr>
                      <w:rFonts w:ascii="Calibri" w:hAnsi="Calibri" w:cs="Calibri"/>
                      <w:color w:val="000000"/>
                      <w:sz w:val="20"/>
                      <w:szCs w:val="20"/>
                    </w:rPr>
                    <w:t>C-In-LEDFixt(245.99w)-dwP16.1</w:t>
                  </w:r>
                </w:p>
              </w:tc>
            </w:tr>
            <w:tr w:rsidR="00EB4684" w:rsidRPr="009E3512" w14:paraId="6915518C" w14:textId="77777777" w:rsidTr="00EB4684">
              <w:trPr>
                <w:trHeight w:val="530"/>
              </w:trPr>
              <w:tc>
                <w:tcPr>
                  <w:tcW w:w="86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0724B17" w14:textId="77777777" w:rsidR="009E3512" w:rsidRPr="009E3512" w:rsidRDefault="009E3512" w:rsidP="009E3512">
                  <w:pPr>
                    <w:jc w:val="center"/>
                    <w:rPr>
                      <w:rFonts w:ascii="Calibri" w:hAnsi="Calibri" w:cs="Calibri"/>
                      <w:color w:val="000000"/>
                      <w:sz w:val="20"/>
                      <w:szCs w:val="20"/>
                    </w:rPr>
                  </w:pPr>
                  <w:r w:rsidRPr="009E3512">
                    <w:rPr>
                      <w:rFonts w:ascii="Calibri" w:hAnsi="Calibri" w:cs="Calibri"/>
                      <w:color w:val="000000"/>
                      <w:sz w:val="20"/>
                      <w:szCs w:val="20"/>
                    </w:rPr>
                    <w:t>Tier 2</w:t>
                  </w:r>
                </w:p>
              </w:tc>
              <w:tc>
                <w:tcPr>
                  <w:tcW w:w="5150" w:type="dxa"/>
                  <w:tcBorders>
                    <w:top w:val="nil"/>
                    <w:left w:val="nil"/>
                    <w:bottom w:val="single" w:sz="4" w:space="0" w:color="auto"/>
                    <w:right w:val="single" w:sz="4" w:space="0" w:color="auto"/>
                  </w:tcBorders>
                  <w:shd w:val="clear" w:color="000000" w:fill="FFFFFF"/>
                  <w:vAlign w:val="bottom"/>
                  <w:hideMark/>
                </w:tcPr>
                <w:p w14:paraId="5BB76488" w14:textId="77777777" w:rsidR="009E3512" w:rsidRPr="009E3512" w:rsidRDefault="009E3512" w:rsidP="009E3512">
                  <w:pPr>
                    <w:rPr>
                      <w:rFonts w:ascii="Calibri" w:hAnsi="Calibri" w:cs="Calibri"/>
                      <w:color w:val="000000"/>
                      <w:sz w:val="20"/>
                      <w:szCs w:val="20"/>
                    </w:rPr>
                  </w:pPr>
                  <w:r w:rsidRPr="009E3512">
                    <w:rPr>
                      <w:rFonts w:ascii="Calibri" w:hAnsi="Calibri" w:cs="Calibri"/>
                      <w:color w:val="000000"/>
                      <w:sz w:val="20"/>
                      <w:szCs w:val="20"/>
                    </w:rPr>
                    <w:t>LED Fixture: High/Low Bay, &gt;=135 LPW, 194 to &lt;227 W</w:t>
                  </w:r>
                </w:p>
              </w:tc>
              <w:tc>
                <w:tcPr>
                  <w:tcW w:w="2790" w:type="dxa"/>
                  <w:tcBorders>
                    <w:top w:val="nil"/>
                    <w:left w:val="nil"/>
                    <w:bottom w:val="single" w:sz="4" w:space="0" w:color="auto"/>
                    <w:right w:val="single" w:sz="4" w:space="0" w:color="auto"/>
                  </w:tcBorders>
                  <w:shd w:val="clear" w:color="000000" w:fill="FFFFFF"/>
                  <w:vAlign w:val="center"/>
                  <w:hideMark/>
                </w:tcPr>
                <w:p w14:paraId="25989192" w14:textId="77777777" w:rsidR="009E3512" w:rsidRPr="009E3512" w:rsidRDefault="009E3512" w:rsidP="009E3512">
                  <w:pPr>
                    <w:rPr>
                      <w:rFonts w:ascii="Calibri" w:hAnsi="Calibri" w:cs="Calibri"/>
                      <w:color w:val="000000"/>
                      <w:sz w:val="20"/>
                      <w:szCs w:val="20"/>
                    </w:rPr>
                  </w:pPr>
                  <w:r w:rsidRPr="009E3512">
                    <w:rPr>
                      <w:rFonts w:ascii="Calibri" w:hAnsi="Calibri" w:cs="Calibri"/>
                      <w:color w:val="000000"/>
                      <w:sz w:val="20"/>
                      <w:szCs w:val="20"/>
                    </w:rPr>
                    <w:t>C-In-LEDFixt(226.99w)-dwP35.1</w:t>
                  </w:r>
                </w:p>
              </w:tc>
            </w:tr>
            <w:tr w:rsidR="009E3512" w:rsidRPr="009E3512" w14:paraId="5501D04C" w14:textId="77777777" w:rsidTr="00EB4684">
              <w:trPr>
                <w:trHeight w:val="530"/>
              </w:trPr>
              <w:tc>
                <w:tcPr>
                  <w:tcW w:w="860" w:type="dxa"/>
                  <w:vMerge/>
                  <w:tcBorders>
                    <w:top w:val="nil"/>
                    <w:left w:val="single" w:sz="4" w:space="0" w:color="auto"/>
                    <w:bottom w:val="single" w:sz="4" w:space="0" w:color="000000"/>
                    <w:right w:val="single" w:sz="4" w:space="0" w:color="auto"/>
                  </w:tcBorders>
                  <w:vAlign w:val="center"/>
                  <w:hideMark/>
                </w:tcPr>
                <w:p w14:paraId="71E65AF2" w14:textId="77777777" w:rsidR="009E3512" w:rsidRPr="009E3512" w:rsidRDefault="009E3512" w:rsidP="009E3512">
                  <w:pPr>
                    <w:rPr>
                      <w:rFonts w:ascii="Calibri" w:hAnsi="Calibri" w:cs="Calibri"/>
                      <w:color w:val="000000"/>
                      <w:sz w:val="20"/>
                      <w:szCs w:val="20"/>
                    </w:rPr>
                  </w:pPr>
                </w:p>
              </w:tc>
              <w:tc>
                <w:tcPr>
                  <w:tcW w:w="5150" w:type="dxa"/>
                  <w:tcBorders>
                    <w:top w:val="nil"/>
                    <w:left w:val="nil"/>
                    <w:bottom w:val="single" w:sz="4" w:space="0" w:color="auto"/>
                    <w:right w:val="single" w:sz="4" w:space="0" w:color="auto"/>
                  </w:tcBorders>
                  <w:shd w:val="clear" w:color="000000" w:fill="FFFFFF"/>
                  <w:vAlign w:val="bottom"/>
                  <w:hideMark/>
                </w:tcPr>
                <w:p w14:paraId="2D3BF61E" w14:textId="77777777" w:rsidR="009E3512" w:rsidRPr="009E3512" w:rsidRDefault="009E3512" w:rsidP="009E3512">
                  <w:pPr>
                    <w:rPr>
                      <w:rFonts w:ascii="Calibri" w:hAnsi="Calibri" w:cs="Calibri"/>
                      <w:color w:val="000000"/>
                      <w:sz w:val="20"/>
                      <w:szCs w:val="20"/>
                    </w:rPr>
                  </w:pPr>
                  <w:r w:rsidRPr="009E3512">
                    <w:rPr>
                      <w:rFonts w:ascii="Calibri" w:hAnsi="Calibri" w:cs="Calibri"/>
                      <w:color w:val="000000"/>
                      <w:sz w:val="20"/>
                      <w:szCs w:val="20"/>
                    </w:rPr>
                    <w:t>LED Fixture: High/Low Bay, &gt;=135 LPW, 227 to &lt;262 W</w:t>
                  </w:r>
                </w:p>
              </w:tc>
              <w:tc>
                <w:tcPr>
                  <w:tcW w:w="2790" w:type="dxa"/>
                  <w:tcBorders>
                    <w:top w:val="nil"/>
                    <w:left w:val="nil"/>
                    <w:bottom w:val="single" w:sz="4" w:space="0" w:color="auto"/>
                    <w:right w:val="single" w:sz="4" w:space="0" w:color="auto"/>
                  </w:tcBorders>
                  <w:shd w:val="clear" w:color="000000" w:fill="FFFFFF"/>
                  <w:vAlign w:val="center"/>
                  <w:hideMark/>
                </w:tcPr>
                <w:p w14:paraId="705DAEA5" w14:textId="77777777" w:rsidR="009E3512" w:rsidRPr="009E3512" w:rsidRDefault="009E3512" w:rsidP="009E3512">
                  <w:pPr>
                    <w:rPr>
                      <w:rFonts w:ascii="Calibri" w:hAnsi="Calibri" w:cs="Calibri"/>
                      <w:color w:val="000000"/>
                      <w:sz w:val="20"/>
                      <w:szCs w:val="20"/>
                    </w:rPr>
                  </w:pPr>
                  <w:r w:rsidRPr="009E3512">
                    <w:rPr>
                      <w:rFonts w:ascii="Calibri" w:hAnsi="Calibri" w:cs="Calibri"/>
                      <w:color w:val="000000"/>
                      <w:sz w:val="20"/>
                      <w:szCs w:val="20"/>
                    </w:rPr>
                    <w:t>C-In-LEDFixt(261.99w)-dwP41.4</w:t>
                  </w:r>
                </w:p>
              </w:tc>
            </w:tr>
            <w:tr w:rsidR="00EB4684" w:rsidRPr="009E3512" w14:paraId="633B547C" w14:textId="77777777" w:rsidTr="00EB4684">
              <w:trPr>
                <w:trHeight w:val="790"/>
              </w:trPr>
              <w:tc>
                <w:tcPr>
                  <w:tcW w:w="860" w:type="dxa"/>
                  <w:tcBorders>
                    <w:top w:val="nil"/>
                    <w:left w:val="single" w:sz="4" w:space="0" w:color="auto"/>
                    <w:bottom w:val="single" w:sz="4" w:space="0" w:color="auto"/>
                    <w:right w:val="single" w:sz="4" w:space="0" w:color="auto"/>
                  </w:tcBorders>
                  <w:shd w:val="clear" w:color="000000" w:fill="FFFFFF"/>
                  <w:vAlign w:val="center"/>
                  <w:hideMark/>
                </w:tcPr>
                <w:p w14:paraId="41A0E43A" w14:textId="77777777" w:rsidR="009E3512" w:rsidRPr="009E3512" w:rsidRDefault="009E3512" w:rsidP="009E3512">
                  <w:pPr>
                    <w:jc w:val="center"/>
                    <w:rPr>
                      <w:rFonts w:ascii="Calibri" w:hAnsi="Calibri" w:cs="Calibri"/>
                      <w:color w:val="000000"/>
                      <w:sz w:val="20"/>
                      <w:szCs w:val="20"/>
                    </w:rPr>
                  </w:pPr>
                  <w:r w:rsidRPr="009E3512">
                    <w:rPr>
                      <w:rFonts w:ascii="Calibri" w:hAnsi="Calibri" w:cs="Calibri"/>
                      <w:color w:val="000000"/>
                      <w:sz w:val="20"/>
                      <w:szCs w:val="20"/>
                    </w:rPr>
                    <w:t>Tier 1</w:t>
                  </w:r>
                </w:p>
              </w:tc>
              <w:tc>
                <w:tcPr>
                  <w:tcW w:w="5150" w:type="dxa"/>
                  <w:tcBorders>
                    <w:top w:val="nil"/>
                    <w:left w:val="nil"/>
                    <w:bottom w:val="single" w:sz="4" w:space="0" w:color="auto"/>
                    <w:right w:val="single" w:sz="4" w:space="0" w:color="auto"/>
                  </w:tcBorders>
                  <w:shd w:val="clear" w:color="000000" w:fill="FFFFFF"/>
                  <w:vAlign w:val="bottom"/>
                  <w:hideMark/>
                </w:tcPr>
                <w:p w14:paraId="54605F22" w14:textId="77777777" w:rsidR="009E3512" w:rsidRPr="009E3512" w:rsidRDefault="009E3512" w:rsidP="009E3512">
                  <w:pPr>
                    <w:rPr>
                      <w:rFonts w:ascii="Calibri" w:hAnsi="Calibri" w:cs="Calibri"/>
                      <w:color w:val="000000"/>
                      <w:sz w:val="20"/>
                      <w:szCs w:val="20"/>
                    </w:rPr>
                  </w:pPr>
                  <w:r w:rsidRPr="009E3512">
                    <w:rPr>
                      <w:rFonts w:ascii="Calibri" w:hAnsi="Calibri" w:cs="Calibri"/>
                      <w:color w:val="000000"/>
                      <w:sz w:val="20"/>
                      <w:szCs w:val="20"/>
                    </w:rPr>
                    <w:t>LED Fixture: High/Low Bay, 125 LPW to &lt;135 LPW, 246 to &lt;283 W</w:t>
                  </w:r>
                </w:p>
              </w:tc>
              <w:tc>
                <w:tcPr>
                  <w:tcW w:w="2790" w:type="dxa"/>
                  <w:tcBorders>
                    <w:top w:val="nil"/>
                    <w:left w:val="nil"/>
                    <w:bottom w:val="single" w:sz="4" w:space="0" w:color="auto"/>
                    <w:right w:val="single" w:sz="4" w:space="0" w:color="auto"/>
                  </w:tcBorders>
                  <w:shd w:val="clear" w:color="000000" w:fill="FFFFFF"/>
                  <w:vAlign w:val="center"/>
                  <w:hideMark/>
                </w:tcPr>
                <w:p w14:paraId="102E81EE" w14:textId="77777777" w:rsidR="009E3512" w:rsidRPr="009E3512" w:rsidRDefault="009E3512" w:rsidP="009E3512">
                  <w:pPr>
                    <w:rPr>
                      <w:rFonts w:ascii="Calibri" w:hAnsi="Calibri" w:cs="Calibri"/>
                      <w:color w:val="000000"/>
                      <w:sz w:val="20"/>
                      <w:szCs w:val="20"/>
                    </w:rPr>
                  </w:pPr>
                  <w:r w:rsidRPr="009E3512">
                    <w:rPr>
                      <w:rFonts w:ascii="Calibri" w:hAnsi="Calibri" w:cs="Calibri"/>
                      <w:color w:val="000000"/>
                      <w:sz w:val="20"/>
                      <w:szCs w:val="20"/>
                    </w:rPr>
                    <w:t>C-In-LEDFixt(282.99w)-dwP20.4</w:t>
                  </w:r>
                </w:p>
              </w:tc>
            </w:tr>
          </w:tbl>
          <w:p w14:paraId="371AAC8B" w14:textId="703C7303" w:rsidR="009E3512" w:rsidRDefault="009E3512" w:rsidP="001D57D7">
            <w:pPr>
              <w:rPr>
                <w:rFonts w:cstheme="minorHAnsi"/>
                <w:sz w:val="20"/>
                <w:szCs w:val="20"/>
              </w:rPr>
            </w:pPr>
          </w:p>
          <w:p w14:paraId="5741B5BA" w14:textId="77777777" w:rsidR="00D87E1A" w:rsidRDefault="00D87E1A" w:rsidP="00D87E1A"/>
          <w:p w14:paraId="435AFA64" w14:textId="77777777" w:rsidR="00421DAA" w:rsidRDefault="00D87E1A" w:rsidP="00D87E1A">
            <w:pPr>
              <w:rPr>
                <w:sz w:val="20"/>
                <w:szCs w:val="20"/>
              </w:rPr>
            </w:pPr>
            <w:r w:rsidRPr="00D87E1A">
              <w:rPr>
                <w:sz w:val="20"/>
                <w:szCs w:val="20"/>
              </w:rPr>
              <w:t xml:space="preserve">Baseline </w:t>
            </w:r>
          </w:p>
          <w:p w14:paraId="0F144C89" w14:textId="42F1FBEF" w:rsidR="00D87E1A" w:rsidRDefault="00D87E1A" w:rsidP="00D87E1A">
            <w:pPr>
              <w:rPr>
                <w:sz w:val="20"/>
                <w:szCs w:val="20"/>
              </w:rPr>
            </w:pPr>
            <w:r w:rsidRPr="00D87E1A">
              <w:rPr>
                <w:sz w:val="20"/>
                <w:szCs w:val="20"/>
              </w:rPr>
              <w:t>technology mix for commercial indoor High / Low Bay lighting varies between 20% HPT8 (high performing T8 linear fluorescent lamps) + 80% LEDs (Department of Energy’s LED Lighting Fact® 25</w:t>
            </w:r>
            <w:r w:rsidRPr="00D87E1A">
              <w:rPr>
                <w:sz w:val="20"/>
                <w:szCs w:val="20"/>
                <w:vertAlign w:val="superscript"/>
              </w:rPr>
              <w:t>th</w:t>
            </w:r>
            <w:r w:rsidRPr="00D87E1A">
              <w:rPr>
                <w:sz w:val="20"/>
                <w:szCs w:val="20"/>
              </w:rPr>
              <w:t xml:space="preserve"> percentile) up to 100% LEDs (Department of Energy’s LED Lighting Facts® 25</w:t>
            </w:r>
            <w:r w:rsidRPr="00D87E1A">
              <w:rPr>
                <w:sz w:val="20"/>
                <w:szCs w:val="20"/>
                <w:vertAlign w:val="superscript"/>
              </w:rPr>
              <w:t>th</w:t>
            </w:r>
            <w:r w:rsidRPr="00D87E1A">
              <w:rPr>
                <w:sz w:val="20"/>
                <w:szCs w:val="20"/>
              </w:rPr>
              <w:t xml:space="preserve"> percentile). </w:t>
            </w:r>
          </w:p>
          <w:p w14:paraId="585AD46B" w14:textId="77777777" w:rsidR="00EB4684" w:rsidRPr="00D87E1A" w:rsidRDefault="00EB4684" w:rsidP="00D87E1A">
            <w:pPr>
              <w:rPr>
                <w:sz w:val="20"/>
                <w:szCs w:val="20"/>
              </w:rPr>
            </w:pPr>
          </w:p>
          <w:tbl>
            <w:tblPr>
              <w:tblStyle w:val="TableGrid"/>
              <w:tblW w:w="0" w:type="auto"/>
              <w:tblInd w:w="155" w:type="dxa"/>
              <w:tblLook w:val="04A0" w:firstRow="1" w:lastRow="0" w:firstColumn="1" w:lastColumn="0" w:noHBand="0" w:noVBand="1"/>
            </w:tblPr>
            <w:tblGrid>
              <w:gridCol w:w="2070"/>
              <w:gridCol w:w="5220"/>
            </w:tblGrid>
            <w:tr w:rsidR="00D87E1A" w:rsidRPr="00D87E1A" w14:paraId="340B21E1" w14:textId="77777777" w:rsidTr="00D87E1A">
              <w:tc>
                <w:tcPr>
                  <w:tcW w:w="2070" w:type="dxa"/>
                  <w:shd w:val="clear" w:color="auto" w:fill="D9D9D9" w:themeFill="background1" w:themeFillShade="D9"/>
                </w:tcPr>
                <w:p w14:paraId="5F35B355" w14:textId="77777777" w:rsidR="00D87E1A" w:rsidRPr="00D87E1A" w:rsidRDefault="00D87E1A" w:rsidP="00D87E1A">
                  <w:pPr>
                    <w:rPr>
                      <w:b/>
                      <w:sz w:val="20"/>
                      <w:szCs w:val="20"/>
                    </w:rPr>
                  </w:pPr>
                  <w:r w:rsidRPr="00D87E1A">
                    <w:rPr>
                      <w:b/>
                      <w:sz w:val="20"/>
                      <w:szCs w:val="20"/>
                    </w:rPr>
                    <w:t>Wattage</w:t>
                  </w:r>
                </w:p>
              </w:tc>
              <w:tc>
                <w:tcPr>
                  <w:tcW w:w="5220" w:type="dxa"/>
                  <w:shd w:val="clear" w:color="auto" w:fill="D9D9D9" w:themeFill="background1" w:themeFillShade="D9"/>
                </w:tcPr>
                <w:p w14:paraId="2A2DA477" w14:textId="77777777" w:rsidR="00D87E1A" w:rsidRPr="00D87E1A" w:rsidRDefault="00D87E1A" w:rsidP="00D87E1A">
                  <w:pPr>
                    <w:rPr>
                      <w:b/>
                      <w:sz w:val="20"/>
                      <w:szCs w:val="20"/>
                    </w:rPr>
                  </w:pPr>
                  <w:r w:rsidRPr="00D87E1A">
                    <w:rPr>
                      <w:b/>
                      <w:sz w:val="20"/>
                      <w:szCs w:val="20"/>
                    </w:rPr>
                    <w:t>Baseline technology</w:t>
                  </w:r>
                </w:p>
              </w:tc>
            </w:tr>
            <w:tr w:rsidR="00D87E1A" w:rsidRPr="00D87E1A" w14:paraId="1192D121" w14:textId="77777777" w:rsidTr="00D87E1A">
              <w:tc>
                <w:tcPr>
                  <w:tcW w:w="2070" w:type="dxa"/>
                </w:tcPr>
                <w:p w14:paraId="2A1F7481" w14:textId="77777777" w:rsidR="00D87E1A" w:rsidRPr="00D87E1A" w:rsidRDefault="00D87E1A" w:rsidP="00D87E1A">
                  <w:pPr>
                    <w:rPr>
                      <w:sz w:val="20"/>
                      <w:szCs w:val="20"/>
                    </w:rPr>
                  </w:pPr>
                  <w:r w:rsidRPr="00D87E1A">
                    <w:rPr>
                      <w:rFonts w:cstheme="minorHAnsi"/>
                      <w:sz w:val="20"/>
                      <w:szCs w:val="20"/>
                    </w:rPr>
                    <w:t>≤</w:t>
                  </w:r>
                  <w:r w:rsidRPr="00D87E1A">
                    <w:rPr>
                      <w:sz w:val="20"/>
                      <w:szCs w:val="20"/>
                    </w:rPr>
                    <w:t>89.99 W</w:t>
                  </w:r>
                </w:p>
              </w:tc>
              <w:tc>
                <w:tcPr>
                  <w:tcW w:w="5220" w:type="dxa"/>
                </w:tcPr>
                <w:p w14:paraId="13C54272" w14:textId="77777777" w:rsidR="00D87E1A" w:rsidRPr="00D87E1A" w:rsidRDefault="00D87E1A" w:rsidP="00D87E1A">
                  <w:pPr>
                    <w:rPr>
                      <w:sz w:val="20"/>
                      <w:szCs w:val="20"/>
                    </w:rPr>
                  </w:pPr>
                  <w:r w:rsidRPr="00D87E1A">
                    <w:rPr>
                      <w:sz w:val="20"/>
                      <w:szCs w:val="20"/>
                    </w:rPr>
                    <w:t>20% HPT8 and 80% LEDs (LED Lighting Facts</w:t>
                  </w:r>
                  <w:r w:rsidRPr="00D87E1A">
                    <w:rPr>
                      <w:b/>
                      <w:sz w:val="20"/>
                      <w:szCs w:val="20"/>
                    </w:rPr>
                    <w:t>®</w:t>
                  </w:r>
                  <w:r w:rsidRPr="00D87E1A">
                    <w:rPr>
                      <w:sz w:val="20"/>
                      <w:szCs w:val="20"/>
                    </w:rPr>
                    <w:t xml:space="preserve"> 25</w:t>
                  </w:r>
                  <w:r w:rsidRPr="00D87E1A">
                    <w:rPr>
                      <w:sz w:val="20"/>
                      <w:szCs w:val="20"/>
                      <w:vertAlign w:val="superscript"/>
                    </w:rPr>
                    <w:t>th</w:t>
                  </w:r>
                  <w:r w:rsidRPr="00D87E1A">
                    <w:rPr>
                      <w:sz w:val="20"/>
                      <w:szCs w:val="20"/>
                    </w:rPr>
                    <w:t xml:space="preserve"> percentile)</w:t>
                  </w:r>
                </w:p>
              </w:tc>
            </w:tr>
            <w:tr w:rsidR="00D87E1A" w:rsidRPr="00D87E1A" w14:paraId="1ADCB095" w14:textId="77777777" w:rsidTr="00D87E1A">
              <w:tc>
                <w:tcPr>
                  <w:tcW w:w="2070" w:type="dxa"/>
                </w:tcPr>
                <w:p w14:paraId="486D9DEE" w14:textId="77777777" w:rsidR="00D87E1A" w:rsidRPr="00D87E1A" w:rsidRDefault="00D87E1A" w:rsidP="00D87E1A">
                  <w:pPr>
                    <w:rPr>
                      <w:sz w:val="20"/>
                      <w:szCs w:val="20"/>
                    </w:rPr>
                  </w:pPr>
                  <w:r w:rsidRPr="00D87E1A">
                    <w:rPr>
                      <w:sz w:val="20"/>
                      <w:szCs w:val="20"/>
                    </w:rPr>
                    <w:t>99 W to 186.99 W</w:t>
                  </w:r>
                </w:p>
              </w:tc>
              <w:tc>
                <w:tcPr>
                  <w:tcW w:w="5220" w:type="dxa"/>
                </w:tcPr>
                <w:p w14:paraId="30507D1E" w14:textId="77777777" w:rsidR="00D87E1A" w:rsidRPr="00D87E1A" w:rsidRDefault="00D87E1A" w:rsidP="00D87E1A">
                  <w:pPr>
                    <w:rPr>
                      <w:sz w:val="20"/>
                      <w:szCs w:val="20"/>
                    </w:rPr>
                  </w:pPr>
                  <w:r w:rsidRPr="00D87E1A">
                    <w:rPr>
                      <w:sz w:val="20"/>
                      <w:szCs w:val="20"/>
                    </w:rPr>
                    <w:t>10% HPLF and 90% LEDs (LED Lighting Facts</w:t>
                  </w:r>
                  <w:r w:rsidRPr="00D87E1A">
                    <w:rPr>
                      <w:b/>
                      <w:sz w:val="20"/>
                      <w:szCs w:val="20"/>
                    </w:rPr>
                    <w:t>®</w:t>
                  </w:r>
                  <w:r w:rsidRPr="00D87E1A">
                    <w:rPr>
                      <w:sz w:val="20"/>
                      <w:szCs w:val="20"/>
                    </w:rPr>
                    <w:t xml:space="preserve"> 25</w:t>
                  </w:r>
                  <w:r w:rsidRPr="00D87E1A">
                    <w:rPr>
                      <w:sz w:val="20"/>
                      <w:szCs w:val="20"/>
                      <w:vertAlign w:val="superscript"/>
                    </w:rPr>
                    <w:t>th</w:t>
                  </w:r>
                  <w:r w:rsidRPr="00D87E1A">
                    <w:rPr>
                      <w:sz w:val="20"/>
                      <w:szCs w:val="20"/>
                    </w:rPr>
                    <w:t xml:space="preserve"> percentile)</w:t>
                  </w:r>
                </w:p>
              </w:tc>
            </w:tr>
            <w:tr w:rsidR="00D87E1A" w:rsidRPr="00D87E1A" w14:paraId="6B5BEDDB" w14:textId="77777777" w:rsidTr="00D87E1A">
              <w:tc>
                <w:tcPr>
                  <w:tcW w:w="2070" w:type="dxa"/>
                </w:tcPr>
                <w:p w14:paraId="1F6EFEF3" w14:textId="77777777" w:rsidR="00D87E1A" w:rsidRPr="00D87E1A" w:rsidRDefault="00D87E1A" w:rsidP="00D87E1A">
                  <w:pPr>
                    <w:rPr>
                      <w:sz w:val="20"/>
                      <w:szCs w:val="20"/>
                    </w:rPr>
                  </w:pPr>
                  <w:r w:rsidRPr="00D87E1A">
                    <w:rPr>
                      <w:rFonts w:cstheme="minorHAnsi"/>
                      <w:sz w:val="20"/>
                      <w:szCs w:val="20"/>
                    </w:rPr>
                    <w:t>≥</w:t>
                  </w:r>
                  <w:r w:rsidRPr="00D87E1A">
                    <w:rPr>
                      <w:sz w:val="20"/>
                      <w:szCs w:val="20"/>
                    </w:rPr>
                    <w:t xml:space="preserve">187 W </w:t>
                  </w:r>
                </w:p>
              </w:tc>
              <w:tc>
                <w:tcPr>
                  <w:tcW w:w="5220" w:type="dxa"/>
                </w:tcPr>
                <w:p w14:paraId="00377A50" w14:textId="77777777" w:rsidR="00D87E1A" w:rsidRPr="00D87E1A" w:rsidRDefault="00D87E1A" w:rsidP="00D87E1A">
                  <w:pPr>
                    <w:rPr>
                      <w:sz w:val="20"/>
                      <w:szCs w:val="20"/>
                    </w:rPr>
                  </w:pPr>
                  <w:r w:rsidRPr="00D87E1A">
                    <w:rPr>
                      <w:sz w:val="20"/>
                      <w:szCs w:val="20"/>
                    </w:rPr>
                    <w:t>100% LEDs (LED Lighting Facts</w:t>
                  </w:r>
                  <w:r w:rsidRPr="00D87E1A">
                    <w:rPr>
                      <w:b/>
                      <w:sz w:val="20"/>
                      <w:szCs w:val="20"/>
                    </w:rPr>
                    <w:t>®</w:t>
                  </w:r>
                  <w:r w:rsidRPr="00D87E1A">
                    <w:rPr>
                      <w:sz w:val="20"/>
                      <w:szCs w:val="20"/>
                    </w:rPr>
                    <w:t xml:space="preserve"> 25</w:t>
                  </w:r>
                  <w:r w:rsidRPr="00D87E1A">
                    <w:rPr>
                      <w:sz w:val="20"/>
                      <w:szCs w:val="20"/>
                      <w:vertAlign w:val="superscript"/>
                    </w:rPr>
                    <w:t>th</w:t>
                  </w:r>
                  <w:r w:rsidRPr="00D87E1A">
                    <w:rPr>
                      <w:sz w:val="20"/>
                      <w:szCs w:val="20"/>
                    </w:rPr>
                    <w:t xml:space="preserve"> percentile)</w:t>
                  </w:r>
                </w:p>
              </w:tc>
            </w:tr>
          </w:tbl>
          <w:p w14:paraId="3B621E8D" w14:textId="77777777" w:rsidR="00B80C3D" w:rsidRPr="00D87E1A" w:rsidRDefault="00B80C3D" w:rsidP="001D57D7">
            <w:pPr>
              <w:rPr>
                <w:rFonts w:cstheme="minorHAnsi"/>
                <w:sz w:val="20"/>
                <w:szCs w:val="20"/>
              </w:rPr>
            </w:pPr>
          </w:p>
          <w:p w14:paraId="4659C7FA" w14:textId="2C277C78" w:rsidR="00EF43DF" w:rsidRPr="00036409" w:rsidRDefault="00BE730F" w:rsidP="009E3512">
            <w:pPr>
              <w:rPr>
                <w:rFonts w:cstheme="minorHAnsi"/>
                <w:sz w:val="20"/>
                <w:szCs w:val="20"/>
              </w:rPr>
            </w:pPr>
            <w:r w:rsidRPr="00036409">
              <w:rPr>
                <w:rFonts w:cstheme="minorHAnsi"/>
                <w:sz w:val="20"/>
                <w:szCs w:val="20"/>
              </w:rPr>
              <w:t xml:space="preserve"> </w:t>
            </w:r>
          </w:p>
        </w:tc>
      </w:tr>
      <w:tr w:rsidR="00DB71F1" w14:paraId="4659C7FE" w14:textId="77777777" w:rsidTr="00EB4684">
        <w:trPr>
          <w:cantSplit/>
        </w:trPr>
        <w:tc>
          <w:tcPr>
            <w:tcW w:w="1710" w:type="dxa"/>
            <w:vAlign w:val="center"/>
          </w:tcPr>
          <w:p w14:paraId="4659C7FC" w14:textId="77777777" w:rsidR="00DB71F1" w:rsidRPr="001D77F7" w:rsidRDefault="00DB71F1" w:rsidP="00CA1893">
            <w:pPr>
              <w:rPr>
                <w:b/>
              </w:rPr>
            </w:pPr>
            <w:r w:rsidRPr="001D77F7">
              <w:rPr>
                <w:b/>
              </w:rPr>
              <w:lastRenderedPageBreak/>
              <w:t xml:space="preserve">1.2 Technical Description </w:t>
            </w:r>
          </w:p>
        </w:tc>
        <w:tc>
          <w:tcPr>
            <w:tcW w:w="9090" w:type="dxa"/>
          </w:tcPr>
          <w:p w14:paraId="1E6EBFDD" w14:textId="5EAB0A58" w:rsidR="006412EA" w:rsidRPr="00036409" w:rsidRDefault="00B80C3D" w:rsidP="001D57D7">
            <w:pPr>
              <w:rPr>
                <w:rFonts w:cstheme="minorHAnsi"/>
                <w:sz w:val="20"/>
                <w:szCs w:val="20"/>
              </w:rPr>
            </w:pPr>
            <w:r>
              <w:rPr>
                <w:rFonts w:cstheme="minorHAnsi"/>
                <w:sz w:val="20"/>
                <w:szCs w:val="20"/>
              </w:rPr>
              <w:t>Refer to Technical Description page 5 located herein by reference</w:t>
            </w:r>
            <w:r w:rsidR="00563B2A">
              <w:rPr>
                <w:rFonts w:cstheme="minorHAnsi"/>
                <w:sz w:val="20"/>
                <w:szCs w:val="20"/>
              </w:rPr>
              <w:t xml:space="preserve"> and </w:t>
            </w:r>
            <w:r w:rsidR="00563B2A">
              <w:rPr>
                <w:sz w:val="20"/>
                <w:szCs w:val="20"/>
              </w:rPr>
              <w:t>per PGE workpaper (PGECOLTG178 Rev3 High-Bay and Low Bay Fixtures).</w:t>
            </w:r>
          </w:p>
          <w:p w14:paraId="4659C7FD" w14:textId="430E80C4" w:rsidR="00DB71F1" w:rsidRPr="00036409" w:rsidRDefault="00DB71F1" w:rsidP="001D57D7">
            <w:pPr>
              <w:rPr>
                <w:rFonts w:cstheme="minorHAnsi"/>
                <w:sz w:val="20"/>
                <w:szCs w:val="20"/>
              </w:rPr>
            </w:pPr>
          </w:p>
        </w:tc>
      </w:tr>
      <w:tr w:rsidR="008775D7" w:rsidRPr="008775D7" w14:paraId="4659C801" w14:textId="77777777" w:rsidTr="00EB4684">
        <w:trPr>
          <w:cantSplit/>
        </w:trPr>
        <w:tc>
          <w:tcPr>
            <w:tcW w:w="1710" w:type="dxa"/>
          </w:tcPr>
          <w:p w14:paraId="4659C7FF" w14:textId="24AC6329" w:rsidR="008775D7" w:rsidRPr="00241A1F" w:rsidRDefault="006412EA" w:rsidP="00241A1F">
            <w:pPr>
              <w:jc w:val="right"/>
              <w:rPr>
                <w:sz w:val="20"/>
                <w:szCs w:val="20"/>
              </w:rPr>
            </w:pPr>
            <w:r>
              <w:rPr>
                <w:sz w:val="20"/>
                <w:szCs w:val="20"/>
              </w:rPr>
              <w:t>Requirements</w:t>
            </w:r>
          </w:p>
        </w:tc>
        <w:tc>
          <w:tcPr>
            <w:tcW w:w="9090" w:type="dxa"/>
          </w:tcPr>
          <w:p w14:paraId="780154B9" w14:textId="669D58C5" w:rsidR="00E96D90" w:rsidRPr="00B62AFB" w:rsidRDefault="00B62AFB" w:rsidP="00B62AFB">
            <w:pPr>
              <w:rPr>
                <w:sz w:val="20"/>
                <w:szCs w:val="20"/>
              </w:rPr>
            </w:pPr>
            <w:r>
              <w:rPr>
                <w:sz w:val="20"/>
                <w:szCs w:val="20"/>
              </w:rPr>
              <w:t xml:space="preserve">As referenced herein on page 3 and per PGE workpaper (PGECOLTG178 Rev3 High-Bay and Low Bay Fixtures). </w:t>
            </w:r>
          </w:p>
          <w:p w14:paraId="4659C800" w14:textId="14E33DCE" w:rsidR="008775D7" w:rsidRPr="00036409" w:rsidRDefault="008775D7" w:rsidP="00B80C3D">
            <w:pPr>
              <w:rPr>
                <w:rFonts w:cstheme="minorHAnsi"/>
                <w:sz w:val="20"/>
                <w:szCs w:val="20"/>
              </w:rPr>
            </w:pPr>
          </w:p>
        </w:tc>
      </w:tr>
      <w:tr w:rsidR="006412EA" w:rsidRPr="008775D7" w14:paraId="2698008C" w14:textId="77777777" w:rsidTr="00EB4684">
        <w:trPr>
          <w:cantSplit/>
        </w:trPr>
        <w:tc>
          <w:tcPr>
            <w:tcW w:w="1710" w:type="dxa"/>
          </w:tcPr>
          <w:p w14:paraId="2318F345" w14:textId="4BF40250" w:rsidR="006412EA" w:rsidRPr="00241A1F" w:rsidRDefault="006412EA" w:rsidP="006412EA">
            <w:pPr>
              <w:jc w:val="right"/>
              <w:rPr>
                <w:sz w:val="20"/>
                <w:szCs w:val="20"/>
              </w:rPr>
            </w:pPr>
            <w:r w:rsidRPr="00241A1F">
              <w:rPr>
                <w:sz w:val="20"/>
                <w:szCs w:val="20"/>
              </w:rPr>
              <w:t>Measures</w:t>
            </w:r>
          </w:p>
        </w:tc>
        <w:tc>
          <w:tcPr>
            <w:tcW w:w="9090" w:type="dxa"/>
          </w:tcPr>
          <w:p w14:paraId="492D24E4" w14:textId="77777777" w:rsidR="00B62AFB" w:rsidRDefault="00B62AFB" w:rsidP="00B62AFB">
            <w:pPr>
              <w:rPr>
                <w:rFonts w:cstheme="minorHAnsi"/>
                <w:sz w:val="20"/>
                <w:szCs w:val="20"/>
              </w:rPr>
            </w:pPr>
            <w:r w:rsidRPr="00036409">
              <w:rPr>
                <w:rFonts w:cstheme="minorHAnsi"/>
                <w:sz w:val="20"/>
                <w:szCs w:val="20"/>
              </w:rPr>
              <w:t xml:space="preserve">As stated per </w:t>
            </w:r>
            <w:r>
              <w:rPr>
                <w:rFonts w:cstheme="minorHAnsi"/>
                <w:sz w:val="20"/>
                <w:szCs w:val="20"/>
              </w:rPr>
              <w:t>2018 May 7 CPUC Energy Disposition for High-Bay and Low-Bay Interim approval of PEAR database and DEER/</w:t>
            </w:r>
            <w:r w:rsidRPr="00036409">
              <w:rPr>
                <w:rFonts w:cstheme="minorHAnsi"/>
                <w:sz w:val="20"/>
                <w:szCs w:val="20"/>
              </w:rPr>
              <w:t>READi 2.4.</w:t>
            </w:r>
            <w:r>
              <w:rPr>
                <w:rFonts w:cstheme="minorHAnsi"/>
                <w:sz w:val="20"/>
                <w:szCs w:val="20"/>
              </w:rPr>
              <w:t xml:space="preserve">8 user interface and available on </w:t>
            </w:r>
            <w:hyperlink r:id="rId12" w:history="1">
              <w:r w:rsidRPr="00B23D0A">
                <w:rPr>
                  <w:rStyle w:val="Hyperlink"/>
                  <w:rFonts w:cstheme="minorHAnsi"/>
                  <w:sz w:val="20"/>
                  <w:szCs w:val="20"/>
                </w:rPr>
                <w:t>www.deeresources.net</w:t>
              </w:r>
            </w:hyperlink>
            <w:r>
              <w:rPr>
                <w:rFonts w:cstheme="minorHAnsi"/>
                <w:sz w:val="20"/>
                <w:szCs w:val="20"/>
              </w:rPr>
              <w:t xml:space="preserve"> . </w:t>
            </w:r>
          </w:p>
          <w:p w14:paraId="63ED2AB9" w14:textId="77777777" w:rsidR="00B62AFB" w:rsidRDefault="00B62AFB" w:rsidP="00B62AFB">
            <w:pPr>
              <w:rPr>
                <w:rFonts w:cstheme="minorHAnsi"/>
                <w:sz w:val="20"/>
                <w:szCs w:val="20"/>
              </w:rPr>
            </w:pPr>
          </w:p>
          <w:p w14:paraId="1C8CEAA1" w14:textId="77777777" w:rsidR="00B62AFB" w:rsidRPr="00B80C3D" w:rsidRDefault="00B62AFB" w:rsidP="00B62AFB">
            <w:pPr>
              <w:ind w:left="720"/>
              <w:rPr>
                <w:rFonts w:cstheme="minorHAnsi"/>
                <w:i/>
                <w:sz w:val="20"/>
                <w:szCs w:val="20"/>
              </w:rPr>
            </w:pPr>
            <w:r>
              <w:rPr>
                <w:rFonts w:cstheme="minorHAnsi"/>
                <w:i/>
                <w:sz w:val="20"/>
                <w:szCs w:val="20"/>
              </w:rPr>
              <w:t>“</w:t>
            </w:r>
            <w:r w:rsidRPr="00B80C3D">
              <w:rPr>
                <w:rFonts w:cstheme="minorHAnsi"/>
                <w:i/>
                <w:sz w:val="20"/>
                <w:szCs w:val="20"/>
              </w:rPr>
              <w:t xml:space="preserve">2018 Phase 2 Disposition for High and Low Bay LED Fixtures based on resubmission of workpaper PGECOLTG178 Revision 3 in response to a 2017 Phase 2 Disposition </w:t>
            </w:r>
            <w:r>
              <w:rPr>
                <w:rFonts w:cstheme="minorHAnsi"/>
                <w:i/>
                <w:sz w:val="20"/>
                <w:szCs w:val="20"/>
              </w:rPr>
              <w:t>“</w:t>
            </w:r>
          </w:p>
          <w:p w14:paraId="0F395C56" w14:textId="580B6BA3" w:rsidR="006412EA" w:rsidRPr="00036409" w:rsidRDefault="006412EA" w:rsidP="006412EA">
            <w:pPr>
              <w:rPr>
                <w:rFonts w:cstheme="minorHAnsi"/>
                <w:sz w:val="20"/>
                <w:szCs w:val="20"/>
              </w:rPr>
            </w:pPr>
          </w:p>
        </w:tc>
      </w:tr>
      <w:tr w:rsidR="006412EA" w:rsidRPr="008775D7" w14:paraId="4659C804" w14:textId="77777777" w:rsidTr="00EB4684">
        <w:trPr>
          <w:cantSplit/>
        </w:trPr>
        <w:tc>
          <w:tcPr>
            <w:tcW w:w="1710" w:type="dxa"/>
          </w:tcPr>
          <w:p w14:paraId="4659C802" w14:textId="77777777" w:rsidR="006412EA" w:rsidRPr="00241A1F" w:rsidRDefault="006412EA" w:rsidP="006412EA">
            <w:pPr>
              <w:jc w:val="right"/>
              <w:rPr>
                <w:sz w:val="20"/>
                <w:szCs w:val="20"/>
              </w:rPr>
            </w:pPr>
            <w:r w:rsidRPr="00241A1F">
              <w:rPr>
                <w:sz w:val="20"/>
                <w:szCs w:val="20"/>
              </w:rPr>
              <w:lastRenderedPageBreak/>
              <w:t>Code for All Measures</w:t>
            </w:r>
          </w:p>
        </w:tc>
        <w:tc>
          <w:tcPr>
            <w:tcW w:w="9090" w:type="dxa"/>
          </w:tcPr>
          <w:p w14:paraId="1EB04561" w14:textId="079A5927" w:rsidR="00B80C3D" w:rsidRDefault="006412EA" w:rsidP="006412EA">
            <w:pPr>
              <w:rPr>
                <w:rFonts w:cstheme="minorHAnsi"/>
                <w:sz w:val="20"/>
                <w:szCs w:val="20"/>
              </w:rPr>
            </w:pPr>
            <w:r w:rsidRPr="00036409">
              <w:rPr>
                <w:rFonts w:cstheme="minorHAnsi"/>
                <w:sz w:val="20"/>
                <w:szCs w:val="20"/>
              </w:rPr>
              <w:t xml:space="preserve">As stated per </w:t>
            </w:r>
            <w:r w:rsidR="009E3512">
              <w:rPr>
                <w:rFonts w:cstheme="minorHAnsi"/>
                <w:sz w:val="20"/>
                <w:szCs w:val="20"/>
              </w:rPr>
              <w:t xml:space="preserve">PGE workpaper (PGECOLTG178 R3 High-Bay and Low-Bay Fixtures) </w:t>
            </w:r>
            <w:r w:rsidR="00B80C3D">
              <w:rPr>
                <w:rFonts w:cstheme="minorHAnsi"/>
                <w:sz w:val="20"/>
                <w:szCs w:val="20"/>
              </w:rPr>
              <w:t xml:space="preserve">and available on </w:t>
            </w:r>
            <w:hyperlink r:id="rId13" w:history="1">
              <w:r w:rsidR="00B80C3D" w:rsidRPr="00B23D0A">
                <w:rPr>
                  <w:rStyle w:val="Hyperlink"/>
                  <w:rFonts w:cstheme="minorHAnsi"/>
                  <w:sz w:val="20"/>
                  <w:szCs w:val="20"/>
                </w:rPr>
                <w:t>www.deeresources.net</w:t>
              </w:r>
            </w:hyperlink>
            <w:r w:rsidR="00B80C3D">
              <w:rPr>
                <w:rFonts w:cstheme="minorHAnsi"/>
                <w:sz w:val="20"/>
                <w:szCs w:val="20"/>
              </w:rPr>
              <w:t xml:space="preserve"> . </w:t>
            </w:r>
          </w:p>
          <w:p w14:paraId="534EAA3B" w14:textId="6ACC8320" w:rsidR="00B80C3D" w:rsidRDefault="00B80C3D" w:rsidP="006412EA">
            <w:pPr>
              <w:rPr>
                <w:rFonts w:cstheme="minorHAnsi"/>
                <w:sz w:val="20"/>
                <w:szCs w:val="20"/>
              </w:rPr>
            </w:pPr>
          </w:p>
          <w:p w14:paraId="6A635DF6" w14:textId="77777777" w:rsidR="00EB4684" w:rsidRPr="000473F3" w:rsidRDefault="00EB4684" w:rsidP="00EB4684">
            <w:pPr>
              <w:rPr>
                <w:rFonts w:cstheme="minorHAnsi"/>
                <w:sz w:val="20"/>
                <w:szCs w:val="20"/>
              </w:rPr>
            </w:pPr>
            <w:r w:rsidRPr="000473F3">
              <w:rPr>
                <w:rFonts w:cstheme="minorHAnsi"/>
                <w:b/>
                <w:i/>
                <w:sz w:val="20"/>
                <w:szCs w:val="20"/>
              </w:rPr>
              <w:t>Title 20:</w:t>
            </w:r>
            <w:r w:rsidRPr="000473F3">
              <w:rPr>
                <w:rFonts w:cstheme="minorHAnsi"/>
                <w:sz w:val="20"/>
                <w:szCs w:val="20"/>
              </w:rPr>
              <w:t xml:space="preserve"> The ballast efficiencies of these base case metal halide lighting systems are regulated under Title 20 of the California Energy Regulations, section 1605.3(n). The most broadly applicable ballast efficiency minimums are as follows: </w:t>
            </w:r>
          </w:p>
          <w:p w14:paraId="011890FF" w14:textId="77777777" w:rsidR="00EB4684" w:rsidRPr="000473F3" w:rsidRDefault="00EB4684" w:rsidP="00EB4684">
            <w:pPr>
              <w:pStyle w:val="ListParagraph"/>
              <w:numPr>
                <w:ilvl w:val="0"/>
                <w:numId w:val="20"/>
              </w:numPr>
              <w:rPr>
                <w:rFonts w:cstheme="minorHAnsi"/>
                <w:sz w:val="20"/>
                <w:szCs w:val="20"/>
              </w:rPr>
            </w:pPr>
            <w:r w:rsidRPr="000473F3">
              <w:rPr>
                <w:rFonts w:cstheme="minorHAnsi"/>
                <w:sz w:val="20"/>
                <w:szCs w:val="20"/>
              </w:rPr>
              <w:t>90 percent for 150 to 250 watt lamps; or</w:t>
            </w:r>
          </w:p>
          <w:p w14:paraId="267F25F5" w14:textId="77777777" w:rsidR="00EB4684" w:rsidRPr="000473F3" w:rsidRDefault="00EB4684" w:rsidP="00EB4684">
            <w:pPr>
              <w:pStyle w:val="ListParagraph"/>
              <w:numPr>
                <w:ilvl w:val="0"/>
                <w:numId w:val="20"/>
              </w:numPr>
              <w:rPr>
                <w:rFonts w:cstheme="minorHAnsi"/>
                <w:sz w:val="20"/>
                <w:szCs w:val="20"/>
              </w:rPr>
            </w:pPr>
            <w:r w:rsidRPr="000473F3">
              <w:rPr>
                <w:rFonts w:cstheme="minorHAnsi"/>
                <w:sz w:val="20"/>
                <w:szCs w:val="20"/>
              </w:rPr>
              <w:t>92 percent for 251 to 500 watt lamps.</w:t>
            </w:r>
          </w:p>
          <w:p w14:paraId="76DFFEFE" w14:textId="77777777" w:rsidR="00EB4684" w:rsidRPr="000473F3" w:rsidRDefault="00EB4684" w:rsidP="00EB4684">
            <w:pPr>
              <w:rPr>
                <w:rFonts w:cstheme="minorHAnsi"/>
                <w:sz w:val="20"/>
                <w:szCs w:val="20"/>
              </w:rPr>
            </w:pPr>
            <w:r w:rsidRPr="000473F3">
              <w:rPr>
                <w:rFonts w:cstheme="minorHAnsi"/>
                <w:sz w:val="20"/>
                <w:szCs w:val="20"/>
              </w:rPr>
              <w:t>These minimums are assumed for the appropriate measures in the work paper.</w:t>
            </w:r>
          </w:p>
          <w:p w14:paraId="0A465D8F" w14:textId="77777777" w:rsidR="00EB4684" w:rsidRPr="000473F3" w:rsidRDefault="00EB4684" w:rsidP="00EB4684">
            <w:pPr>
              <w:rPr>
                <w:rFonts w:cstheme="minorHAnsi"/>
                <w:sz w:val="20"/>
                <w:szCs w:val="20"/>
              </w:rPr>
            </w:pPr>
          </w:p>
          <w:p w14:paraId="487FFBCF" w14:textId="77777777" w:rsidR="00EB4684" w:rsidRPr="000473F3" w:rsidRDefault="00EB4684" w:rsidP="00EB4684">
            <w:pPr>
              <w:rPr>
                <w:rFonts w:cstheme="minorHAnsi"/>
                <w:sz w:val="20"/>
                <w:szCs w:val="20"/>
              </w:rPr>
            </w:pPr>
            <w:r w:rsidRPr="000473F3">
              <w:rPr>
                <w:rFonts w:cstheme="minorHAnsi"/>
                <w:b/>
                <w:i/>
                <w:sz w:val="20"/>
                <w:szCs w:val="20"/>
              </w:rPr>
              <w:t>Title 24:</w:t>
            </w:r>
            <w:r w:rsidRPr="000473F3">
              <w:rPr>
                <w:rFonts w:cstheme="minorHAnsi"/>
                <w:color w:val="FF0000"/>
                <w:sz w:val="20"/>
                <w:szCs w:val="20"/>
              </w:rPr>
              <w:t xml:space="preserve"> </w:t>
            </w:r>
            <w:r w:rsidRPr="000473F3">
              <w:rPr>
                <w:rFonts w:cstheme="minorHAnsi"/>
                <w:sz w:val="20"/>
                <w:szCs w:val="20"/>
              </w:rPr>
              <w:t xml:space="preserve">Neither the source technology nor the fixture selection for these measures falls under Title 24 [2016] </w:t>
            </w:r>
            <w:r w:rsidRPr="000473F3">
              <w:rPr>
                <w:rStyle w:val="EndnoteReference"/>
                <w:rFonts w:cstheme="minorHAnsi"/>
                <w:sz w:val="20"/>
                <w:szCs w:val="20"/>
              </w:rPr>
              <w:endnoteReference w:id="3"/>
            </w:r>
            <w:r w:rsidRPr="000473F3">
              <w:rPr>
                <w:rFonts w:cstheme="minorHAnsi"/>
                <w:sz w:val="20"/>
                <w:szCs w:val="20"/>
              </w:rPr>
              <w:t xml:space="preserve">  of the California Energy Regulations. However, the Lighting Power Densities (LPD) in watts/ square feet of both measure and base case are capped by Title 24. Given the enormous range in high bay spacing, with 25 and 30 foot spacing possible, any eligible fixture under this measure (capped at 571W/fixture) could meet appropriate LPDs listed in Table 140.6-C of Title 24. The bases of the 2016 standards for high and low bay occupancies are pulse start metal halide.  The 2019 Title 24 standards will be based on all LED designs.</w:t>
            </w:r>
          </w:p>
          <w:p w14:paraId="70EC0B43" w14:textId="77777777" w:rsidR="00EB4684" w:rsidRPr="000473F3" w:rsidRDefault="00EB4684" w:rsidP="00EB4684">
            <w:pPr>
              <w:rPr>
                <w:rFonts w:cstheme="minorHAnsi"/>
                <w:sz w:val="20"/>
                <w:szCs w:val="20"/>
              </w:rPr>
            </w:pPr>
          </w:p>
          <w:p w14:paraId="2A790C17" w14:textId="77777777" w:rsidR="00EB4684" w:rsidRPr="000473F3" w:rsidRDefault="00EB4684" w:rsidP="00EB4684">
            <w:pPr>
              <w:rPr>
                <w:rFonts w:cstheme="minorHAnsi"/>
                <w:sz w:val="20"/>
                <w:szCs w:val="20"/>
              </w:rPr>
            </w:pPr>
            <w:r w:rsidRPr="000473F3">
              <w:rPr>
                <w:rFonts w:cstheme="minorHAnsi"/>
                <w:b/>
                <w:i/>
                <w:sz w:val="20"/>
                <w:szCs w:val="20"/>
              </w:rPr>
              <w:t>Federal Standards:</w:t>
            </w:r>
            <w:r w:rsidRPr="000473F3">
              <w:rPr>
                <w:rFonts w:cstheme="minorHAnsi"/>
                <w:sz w:val="20"/>
                <w:szCs w:val="20"/>
              </w:rPr>
              <w:t xml:space="preserve"> These measure case fixtures do not fall under Federal DOE or EPA Energy Regulations. As amended by EISA 2007, EPCA regulates metal halide lamp fixtures designed to be operated with lamps rated greater than or equal to 150 watts (W), but less than or equal to 500 W, by prescribing performance requirements for the metal halide ballasts used in those metal halide lamp fixtures</w:t>
            </w:r>
            <w:r w:rsidRPr="000473F3">
              <w:rPr>
                <w:rStyle w:val="EndnoteReference"/>
                <w:rFonts w:cstheme="minorHAnsi"/>
                <w:sz w:val="20"/>
                <w:szCs w:val="20"/>
              </w:rPr>
              <w:endnoteReference w:id="4"/>
            </w:r>
            <w:r w:rsidRPr="000473F3">
              <w:rPr>
                <w:rFonts w:cstheme="minorHAnsi"/>
                <w:sz w:val="20"/>
                <w:szCs w:val="20"/>
              </w:rPr>
              <w:t xml:space="preserve">. Both metal halide lamps and ballasts are energy-using components of metal halide lamp fixtures. For this MH lamp wattage range, metal halide lamp fixtures must contain the following:  </w:t>
            </w:r>
          </w:p>
          <w:p w14:paraId="00D1A6DA" w14:textId="77777777" w:rsidR="00EB4684" w:rsidRPr="000473F3" w:rsidRDefault="00EB4684" w:rsidP="00EB4684">
            <w:pPr>
              <w:pStyle w:val="ListParagraph"/>
              <w:numPr>
                <w:ilvl w:val="0"/>
                <w:numId w:val="19"/>
              </w:numPr>
              <w:rPr>
                <w:rFonts w:cstheme="minorHAnsi"/>
                <w:sz w:val="20"/>
                <w:szCs w:val="20"/>
              </w:rPr>
            </w:pPr>
            <w:r w:rsidRPr="000473F3">
              <w:rPr>
                <w:rFonts w:cstheme="minorHAnsi"/>
                <w:sz w:val="20"/>
                <w:szCs w:val="20"/>
              </w:rPr>
              <w:t xml:space="preserve">a pulse-start metal halide ballast with a minimum ballast efficiency of 88 percent; </w:t>
            </w:r>
          </w:p>
          <w:p w14:paraId="05FA9A2B" w14:textId="77777777" w:rsidR="00EB4684" w:rsidRPr="000473F3" w:rsidRDefault="00EB4684" w:rsidP="00EB4684">
            <w:pPr>
              <w:pStyle w:val="ListParagraph"/>
              <w:numPr>
                <w:ilvl w:val="0"/>
                <w:numId w:val="19"/>
              </w:numPr>
              <w:rPr>
                <w:rFonts w:cstheme="minorHAnsi"/>
                <w:sz w:val="20"/>
                <w:szCs w:val="20"/>
              </w:rPr>
            </w:pPr>
            <w:r w:rsidRPr="000473F3">
              <w:rPr>
                <w:rFonts w:cstheme="minorHAnsi"/>
                <w:sz w:val="20"/>
                <w:szCs w:val="20"/>
              </w:rPr>
              <w:t xml:space="preserve">a magnetic probe-start ballast with a minimum ballast efficiency of 94 percent; or </w:t>
            </w:r>
          </w:p>
          <w:p w14:paraId="79F91419" w14:textId="77777777" w:rsidR="00EB4684" w:rsidRPr="000473F3" w:rsidRDefault="00EB4684" w:rsidP="00EB4684">
            <w:pPr>
              <w:pStyle w:val="ListParagraph"/>
              <w:numPr>
                <w:ilvl w:val="0"/>
                <w:numId w:val="19"/>
              </w:numPr>
              <w:rPr>
                <w:rFonts w:cstheme="minorHAnsi"/>
                <w:sz w:val="20"/>
                <w:szCs w:val="20"/>
              </w:rPr>
            </w:pPr>
            <w:r w:rsidRPr="000473F3">
              <w:rPr>
                <w:rFonts w:cstheme="minorHAnsi"/>
                <w:sz w:val="20"/>
                <w:szCs w:val="20"/>
              </w:rPr>
              <w:t xml:space="preserve">a non-pulse-start electronic ballast with— </w:t>
            </w:r>
          </w:p>
          <w:p w14:paraId="6384FC6C" w14:textId="77777777" w:rsidR="00EB4684" w:rsidRPr="000473F3" w:rsidRDefault="00EB4684" w:rsidP="00EB4684">
            <w:pPr>
              <w:pStyle w:val="ListParagraph"/>
              <w:numPr>
                <w:ilvl w:val="1"/>
                <w:numId w:val="19"/>
              </w:numPr>
              <w:rPr>
                <w:rFonts w:cstheme="minorHAnsi"/>
                <w:sz w:val="20"/>
                <w:szCs w:val="20"/>
              </w:rPr>
            </w:pPr>
            <w:r w:rsidRPr="000473F3">
              <w:rPr>
                <w:rFonts w:cstheme="minorHAnsi"/>
                <w:sz w:val="20"/>
                <w:szCs w:val="20"/>
              </w:rPr>
              <w:t xml:space="preserve">a minimum ballast efficiency of 92 percent for wattages greater than 250 watts; and </w:t>
            </w:r>
          </w:p>
          <w:p w14:paraId="7FD4A70D" w14:textId="77777777" w:rsidR="00EB4684" w:rsidRPr="000473F3" w:rsidRDefault="00EB4684" w:rsidP="00EB4684">
            <w:pPr>
              <w:pStyle w:val="ListParagraph"/>
              <w:numPr>
                <w:ilvl w:val="1"/>
                <w:numId w:val="19"/>
              </w:numPr>
              <w:rPr>
                <w:rFonts w:cstheme="minorHAnsi"/>
                <w:sz w:val="20"/>
                <w:szCs w:val="20"/>
              </w:rPr>
            </w:pPr>
            <w:r w:rsidRPr="000473F3">
              <w:rPr>
                <w:rFonts w:cstheme="minorHAnsi"/>
                <w:sz w:val="20"/>
                <w:szCs w:val="20"/>
              </w:rPr>
              <w:t>a minimum ballast efficiency of 90 percent for wattages less than or equal to 250 watts.</w:t>
            </w:r>
          </w:p>
          <w:p w14:paraId="4659C803" w14:textId="60FEB411" w:rsidR="00B452E6" w:rsidRPr="00036409" w:rsidRDefault="00B452E6" w:rsidP="009E3512">
            <w:pPr>
              <w:ind w:left="720"/>
              <w:rPr>
                <w:rFonts w:cstheme="minorHAnsi"/>
                <w:sz w:val="20"/>
                <w:szCs w:val="20"/>
              </w:rPr>
            </w:pPr>
          </w:p>
        </w:tc>
      </w:tr>
      <w:tr w:rsidR="006412EA" w14:paraId="4659C807" w14:textId="77777777" w:rsidTr="00EB4684">
        <w:trPr>
          <w:cantSplit/>
        </w:trPr>
        <w:tc>
          <w:tcPr>
            <w:tcW w:w="1710" w:type="dxa"/>
          </w:tcPr>
          <w:p w14:paraId="4659C805" w14:textId="77777777" w:rsidR="006412EA" w:rsidRPr="001D77F7" w:rsidRDefault="006412EA" w:rsidP="006412EA">
            <w:pPr>
              <w:rPr>
                <w:b/>
              </w:rPr>
            </w:pPr>
            <w:r w:rsidRPr="001D77F7">
              <w:rPr>
                <w:b/>
              </w:rPr>
              <w:t>1.3 Installation Type and Delivery Mechanisms</w:t>
            </w:r>
          </w:p>
        </w:tc>
        <w:tc>
          <w:tcPr>
            <w:tcW w:w="9090" w:type="dxa"/>
          </w:tcPr>
          <w:p w14:paraId="4659C806" w14:textId="77777777" w:rsidR="006412EA" w:rsidRPr="00036409" w:rsidRDefault="006412EA" w:rsidP="006412EA">
            <w:pPr>
              <w:rPr>
                <w:rFonts w:cstheme="minorHAnsi"/>
                <w:sz w:val="20"/>
                <w:szCs w:val="20"/>
              </w:rPr>
            </w:pPr>
          </w:p>
        </w:tc>
      </w:tr>
      <w:tr w:rsidR="006412EA" w14:paraId="4659C80A" w14:textId="77777777" w:rsidTr="00EB4684">
        <w:trPr>
          <w:cantSplit/>
        </w:trPr>
        <w:tc>
          <w:tcPr>
            <w:tcW w:w="1710" w:type="dxa"/>
            <w:vAlign w:val="center"/>
          </w:tcPr>
          <w:p w14:paraId="4659C808" w14:textId="77777777" w:rsidR="006412EA" w:rsidRPr="00822B6F" w:rsidRDefault="006412EA" w:rsidP="006412EA">
            <w:pPr>
              <w:jc w:val="right"/>
              <w:rPr>
                <w:sz w:val="20"/>
                <w:szCs w:val="20"/>
              </w:rPr>
            </w:pPr>
            <w:r w:rsidRPr="00822B6F">
              <w:rPr>
                <w:sz w:val="20"/>
                <w:szCs w:val="20"/>
              </w:rPr>
              <w:t>Installation Type</w:t>
            </w:r>
          </w:p>
        </w:tc>
        <w:tc>
          <w:tcPr>
            <w:tcW w:w="9090" w:type="dxa"/>
          </w:tcPr>
          <w:p w14:paraId="4659C809" w14:textId="77777777" w:rsidR="006412EA" w:rsidRPr="00036409" w:rsidRDefault="006412EA" w:rsidP="006412EA">
            <w:pPr>
              <w:pStyle w:val="ListParagraph"/>
              <w:numPr>
                <w:ilvl w:val="0"/>
                <w:numId w:val="6"/>
              </w:numPr>
              <w:rPr>
                <w:rFonts w:cstheme="minorHAnsi"/>
                <w:sz w:val="20"/>
                <w:szCs w:val="20"/>
              </w:rPr>
            </w:pPr>
            <w:r w:rsidRPr="00036409">
              <w:rPr>
                <w:rFonts w:cstheme="minorHAnsi"/>
                <w:sz w:val="20"/>
                <w:szCs w:val="20"/>
              </w:rPr>
              <w:t>Replace On Burnout (ROB)</w:t>
            </w:r>
          </w:p>
        </w:tc>
      </w:tr>
      <w:tr w:rsidR="006412EA" w14:paraId="4659C80D" w14:textId="77777777" w:rsidTr="00EB4684">
        <w:trPr>
          <w:cantSplit/>
        </w:trPr>
        <w:tc>
          <w:tcPr>
            <w:tcW w:w="1710" w:type="dxa"/>
            <w:vAlign w:val="center"/>
          </w:tcPr>
          <w:p w14:paraId="4659C80B" w14:textId="77777777" w:rsidR="006412EA" w:rsidRPr="00822B6F" w:rsidRDefault="006412EA" w:rsidP="006412EA">
            <w:pPr>
              <w:jc w:val="right"/>
              <w:rPr>
                <w:sz w:val="20"/>
                <w:szCs w:val="20"/>
              </w:rPr>
            </w:pPr>
            <w:r w:rsidRPr="00822B6F">
              <w:rPr>
                <w:sz w:val="20"/>
                <w:szCs w:val="20"/>
              </w:rPr>
              <w:t>Delivery Mechanisms</w:t>
            </w:r>
          </w:p>
        </w:tc>
        <w:tc>
          <w:tcPr>
            <w:tcW w:w="9090" w:type="dxa"/>
          </w:tcPr>
          <w:p w14:paraId="6F374DF4" w14:textId="5E068D4B" w:rsidR="006412EA" w:rsidRDefault="006412EA" w:rsidP="006412EA">
            <w:pPr>
              <w:pStyle w:val="ListParagraph"/>
              <w:numPr>
                <w:ilvl w:val="0"/>
                <w:numId w:val="7"/>
              </w:numPr>
              <w:rPr>
                <w:rFonts w:cstheme="minorHAnsi"/>
                <w:sz w:val="20"/>
                <w:szCs w:val="20"/>
              </w:rPr>
            </w:pPr>
            <w:r w:rsidRPr="00036409">
              <w:rPr>
                <w:rFonts w:cstheme="minorHAnsi"/>
                <w:sz w:val="20"/>
                <w:szCs w:val="20"/>
              </w:rPr>
              <w:t>PreRebDown - Downstream Rebate – Deemed</w:t>
            </w:r>
          </w:p>
          <w:p w14:paraId="3C675422" w14:textId="4962B156" w:rsidR="00B62AFB" w:rsidRPr="00036409" w:rsidRDefault="00B62AFB" w:rsidP="006412EA">
            <w:pPr>
              <w:pStyle w:val="ListParagraph"/>
              <w:numPr>
                <w:ilvl w:val="0"/>
                <w:numId w:val="7"/>
              </w:numPr>
              <w:rPr>
                <w:rFonts w:cstheme="minorHAnsi"/>
                <w:sz w:val="20"/>
                <w:szCs w:val="20"/>
              </w:rPr>
            </w:pPr>
            <w:r>
              <w:rPr>
                <w:rFonts w:cstheme="minorHAnsi"/>
                <w:sz w:val="20"/>
                <w:szCs w:val="20"/>
              </w:rPr>
              <w:t>PreRebUp – Upstream /Midstream - Deemed</w:t>
            </w:r>
          </w:p>
          <w:p w14:paraId="486483BC" w14:textId="77777777" w:rsidR="006412EA" w:rsidRPr="00036409" w:rsidRDefault="006412EA" w:rsidP="006412EA">
            <w:pPr>
              <w:pStyle w:val="ListParagraph"/>
              <w:ind w:left="360"/>
              <w:rPr>
                <w:rFonts w:cstheme="minorHAnsi"/>
                <w:sz w:val="20"/>
                <w:szCs w:val="20"/>
              </w:rPr>
            </w:pPr>
          </w:p>
          <w:p w14:paraId="315BCDB9" w14:textId="77777777" w:rsidR="00A65F39" w:rsidRDefault="00A65F39" w:rsidP="006412EA">
            <w:pPr>
              <w:rPr>
                <w:rFonts w:cstheme="minorHAnsi"/>
                <w:sz w:val="20"/>
                <w:szCs w:val="20"/>
              </w:rPr>
            </w:pPr>
            <w:r>
              <w:rPr>
                <w:rFonts w:cstheme="minorHAnsi"/>
                <w:sz w:val="20"/>
                <w:szCs w:val="20"/>
              </w:rPr>
              <w:t>Notes</w:t>
            </w:r>
          </w:p>
          <w:p w14:paraId="456CD7A8" w14:textId="6EA75DAC" w:rsidR="006412EA" w:rsidRDefault="006412EA" w:rsidP="00A65F39">
            <w:pPr>
              <w:pStyle w:val="ListParagraph"/>
              <w:numPr>
                <w:ilvl w:val="0"/>
                <w:numId w:val="11"/>
              </w:numPr>
              <w:rPr>
                <w:rFonts w:cstheme="minorHAnsi"/>
                <w:sz w:val="20"/>
                <w:szCs w:val="20"/>
              </w:rPr>
            </w:pPr>
            <w:r w:rsidRPr="00A65F39">
              <w:rPr>
                <w:rFonts w:cstheme="minorHAnsi"/>
                <w:sz w:val="20"/>
                <w:szCs w:val="20"/>
              </w:rPr>
              <w:t>SDG&amp;E Business Energy Solution (BES) program contracts with third party implementers for the installation of these measures. The customer participation includes a copay and financial incentive buy-down.</w:t>
            </w:r>
            <w:r w:rsidR="00B551E7">
              <w:rPr>
                <w:rFonts w:cstheme="minorHAnsi"/>
                <w:sz w:val="20"/>
                <w:szCs w:val="20"/>
              </w:rPr>
              <w:t xml:space="preserve"> The delivery type has been determined to be “PreRebDown” due to customer copay to third party implementer. </w:t>
            </w:r>
            <w:r w:rsidR="00B452E6">
              <w:rPr>
                <w:rFonts w:cstheme="minorHAnsi"/>
                <w:sz w:val="20"/>
                <w:szCs w:val="20"/>
              </w:rPr>
              <w:t xml:space="preserve">Traditionally this program is eligible for Direct Install delivery method absent a customer copay option. </w:t>
            </w:r>
            <w:r w:rsidRPr="00A65F39">
              <w:rPr>
                <w:rFonts w:cstheme="minorHAnsi"/>
                <w:sz w:val="20"/>
                <w:szCs w:val="20"/>
              </w:rPr>
              <w:t xml:space="preserve">  </w:t>
            </w:r>
          </w:p>
          <w:p w14:paraId="4659C80C" w14:textId="2898DD58" w:rsidR="00A65F39" w:rsidRPr="00A65F39" w:rsidRDefault="00A65F39" w:rsidP="00A65F39">
            <w:pPr>
              <w:pStyle w:val="ListParagraph"/>
              <w:numPr>
                <w:ilvl w:val="0"/>
                <w:numId w:val="11"/>
              </w:numPr>
              <w:rPr>
                <w:rFonts w:cstheme="minorHAnsi"/>
                <w:sz w:val="20"/>
                <w:szCs w:val="20"/>
              </w:rPr>
            </w:pPr>
            <w:r>
              <w:rPr>
                <w:rFonts w:cstheme="minorHAnsi"/>
                <w:sz w:val="20"/>
                <w:szCs w:val="20"/>
              </w:rPr>
              <w:t xml:space="preserve">SDG&amp;E Mid-Stream Lighting Programs (3223L, 3233L and 3239L) has contracted with local Lighting Distributors to provide a discounted luminaire (incentive to others) for providing customer site address and customer utility account. The end-use customer to benefit from a discounted luminaire given that customer information is being collected. The Delivery Type has been determined to be a Mid-Stream </w:t>
            </w:r>
            <w:r w:rsidR="00B62AFB">
              <w:rPr>
                <w:rFonts w:cstheme="minorHAnsi"/>
                <w:sz w:val="20"/>
                <w:szCs w:val="20"/>
              </w:rPr>
              <w:t>with Delivery Type =</w:t>
            </w:r>
            <w:r>
              <w:rPr>
                <w:rFonts w:cstheme="minorHAnsi"/>
                <w:sz w:val="20"/>
                <w:szCs w:val="20"/>
              </w:rPr>
              <w:t>“PreReb</w:t>
            </w:r>
            <w:r w:rsidR="00B62AFB">
              <w:rPr>
                <w:rFonts w:cstheme="minorHAnsi"/>
                <w:sz w:val="20"/>
                <w:szCs w:val="20"/>
              </w:rPr>
              <w:t>Up</w:t>
            </w:r>
            <w:r>
              <w:rPr>
                <w:rFonts w:cstheme="minorHAnsi"/>
                <w:sz w:val="20"/>
                <w:szCs w:val="20"/>
              </w:rPr>
              <w:t>” solution for</w:t>
            </w:r>
            <w:r w:rsidR="00AD7B69">
              <w:rPr>
                <w:rFonts w:cstheme="minorHAnsi"/>
                <w:sz w:val="20"/>
                <w:szCs w:val="20"/>
              </w:rPr>
              <w:t xml:space="preserve"> the given case mentioned</w:t>
            </w:r>
            <w:r w:rsidR="00B62AFB">
              <w:rPr>
                <w:rFonts w:cstheme="minorHAnsi"/>
                <w:sz w:val="20"/>
                <w:szCs w:val="20"/>
              </w:rPr>
              <w:t>.</w:t>
            </w:r>
          </w:p>
        </w:tc>
      </w:tr>
      <w:tr w:rsidR="006412EA" w14:paraId="4659C810" w14:textId="77777777" w:rsidTr="00EB4684">
        <w:trPr>
          <w:cantSplit/>
        </w:trPr>
        <w:tc>
          <w:tcPr>
            <w:tcW w:w="1710" w:type="dxa"/>
          </w:tcPr>
          <w:p w14:paraId="4659C80E" w14:textId="77777777" w:rsidR="006412EA" w:rsidRPr="001D77F7" w:rsidRDefault="006412EA" w:rsidP="006412EA">
            <w:pPr>
              <w:rPr>
                <w:b/>
              </w:rPr>
            </w:pPr>
            <w:r w:rsidRPr="001D77F7">
              <w:rPr>
                <w:b/>
              </w:rPr>
              <w:t>1.4.1 DEER Data</w:t>
            </w:r>
          </w:p>
        </w:tc>
        <w:tc>
          <w:tcPr>
            <w:tcW w:w="9090" w:type="dxa"/>
          </w:tcPr>
          <w:p w14:paraId="4659C80F" w14:textId="77777777" w:rsidR="006412EA" w:rsidRPr="00036409" w:rsidRDefault="006412EA" w:rsidP="006412EA">
            <w:pPr>
              <w:rPr>
                <w:rFonts w:cstheme="minorHAnsi"/>
                <w:sz w:val="20"/>
                <w:szCs w:val="20"/>
              </w:rPr>
            </w:pPr>
          </w:p>
        </w:tc>
      </w:tr>
      <w:tr w:rsidR="006412EA" w14:paraId="4659C813" w14:textId="77777777" w:rsidTr="00EB4684">
        <w:trPr>
          <w:cantSplit/>
        </w:trPr>
        <w:tc>
          <w:tcPr>
            <w:tcW w:w="1710" w:type="dxa"/>
          </w:tcPr>
          <w:p w14:paraId="4659C811" w14:textId="7E4F2FE0" w:rsidR="006412EA" w:rsidRPr="00822B6F" w:rsidRDefault="006412EA" w:rsidP="006412EA">
            <w:pPr>
              <w:jc w:val="right"/>
              <w:rPr>
                <w:sz w:val="20"/>
                <w:szCs w:val="20"/>
              </w:rPr>
            </w:pPr>
            <w:r w:rsidRPr="00822B6F">
              <w:rPr>
                <w:sz w:val="20"/>
                <w:szCs w:val="20"/>
              </w:rPr>
              <w:lastRenderedPageBreak/>
              <w:t>DEER Measure ID</w:t>
            </w:r>
            <w:r>
              <w:rPr>
                <w:sz w:val="20"/>
                <w:szCs w:val="20"/>
              </w:rPr>
              <w:t>s</w:t>
            </w:r>
          </w:p>
        </w:tc>
        <w:tc>
          <w:tcPr>
            <w:tcW w:w="9090" w:type="dxa"/>
          </w:tcPr>
          <w:p w14:paraId="06A5F1FC" w14:textId="2C93B30A" w:rsidR="006412EA" w:rsidRDefault="0091074F" w:rsidP="006412EA">
            <w:pPr>
              <w:rPr>
                <w:rFonts w:cstheme="minorHAnsi"/>
                <w:sz w:val="20"/>
                <w:szCs w:val="20"/>
              </w:rPr>
            </w:pPr>
            <w:r>
              <w:rPr>
                <w:rFonts w:cstheme="minorHAnsi"/>
                <w:sz w:val="20"/>
                <w:szCs w:val="20"/>
              </w:rPr>
              <w:t xml:space="preserve">The following are SDG&amp;E Implementations and 2018 DEER Measure IDs </w:t>
            </w:r>
          </w:p>
          <w:tbl>
            <w:tblPr>
              <w:tblW w:w="8240" w:type="dxa"/>
              <w:tblLook w:val="04A0" w:firstRow="1" w:lastRow="0" w:firstColumn="1" w:lastColumn="0" w:noHBand="0" w:noVBand="1"/>
            </w:tblPr>
            <w:tblGrid>
              <w:gridCol w:w="1036"/>
              <w:gridCol w:w="1279"/>
              <w:gridCol w:w="860"/>
              <w:gridCol w:w="2620"/>
              <w:gridCol w:w="2680"/>
            </w:tblGrid>
            <w:tr w:rsidR="0091074F" w:rsidRPr="0091074F" w14:paraId="66A29278" w14:textId="77777777" w:rsidTr="0091074F">
              <w:trPr>
                <w:trHeight w:val="290"/>
              </w:trPr>
              <w:tc>
                <w:tcPr>
                  <w:tcW w:w="2080" w:type="dxa"/>
                  <w:gridSpan w:val="2"/>
                  <w:tcBorders>
                    <w:top w:val="nil"/>
                    <w:left w:val="nil"/>
                    <w:bottom w:val="nil"/>
                    <w:right w:val="nil"/>
                  </w:tcBorders>
                  <w:shd w:val="clear" w:color="auto" w:fill="auto"/>
                  <w:noWrap/>
                  <w:vAlign w:val="bottom"/>
                  <w:hideMark/>
                </w:tcPr>
                <w:p w14:paraId="41A9359E" w14:textId="77777777" w:rsidR="0091074F" w:rsidRPr="0091074F" w:rsidRDefault="0091074F" w:rsidP="0091074F">
                  <w:pPr>
                    <w:jc w:val="center"/>
                    <w:rPr>
                      <w:rFonts w:ascii="Calibri" w:hAnsi="Calibri"/>
                      <w:color w:val="000000"/>
                      <w:sz w:val="20"/>
                      <w:szCs w:val="20"/>
                    </w:rPr>
                  </w:pPr>
                  <w:r w:rsidRPr="0091074F">
                    <w:rPr>
                      <w:rFonts w:ascii="Calibri" w:hAnsi="Calibri"/>
                      <w:color w:val="000000"/>
                      <w:sz w:val="20"/>
                      <w:szCs w:val="20"/>
                    </w:rPr>
                    <w:t>Delivery Type</w:t>
                  </w:r>
                </w:p>
              </w:tc>
              <w:tc>
                <w:tcPr>
                  <w:tcW w:w="860" w:type="dxa"/>
                  <w:tcBorders>
                    <w:top w:val="nil"/>
                    <w:left w:val="nil"/>
                    <w:bottom w:val="single" w:sz="4" w:space="0" w:color="auto"/>
                    <w:right w:val="nil"/>
                  </w:tcBorders>
                  <w:shd w:val="clear" w:color="auto" w:fill="auto"/>
                  <w:noWrap/>
                  <w:vAlign w:val="bottom"/>
                  <w:hideMark/>
                </w:tcPr>
                <w:p w14:paraId="137ACA57" w14:textId="77777777" w:rsidR="0091074F" w:rsidRPr="0091074F" w:rsidRDefault="0091074F" w:rsidP="0091074F">
                  <w:pPr>
                    <w:jc w:val="center"/>
                    <w:rPr>
                      <w:rFonts w:ascii="Calibri" w:hAnsi="Calibri"/>
                      <w:color w:val="000000"/>
                      <w:sz w:val="20"/>
                      <w:szCs w:val="20"/>
                    </w:rPr>
                  </w:pPr>
                </w:p>
              </w:tc>
              <w:tc>
                <w:tcPr>
                  <w:tcW w:w="2620" w:type="dxa"/>
                  <w:tcBorders>
                    <w:top w:val="nil"/>
                    <w:left w:val="nil"/>
                    <w:bottom w:val="single" w:sz="4" w:space="0" w:color="auto"/>
                    <w:right w:val="nil"/>
                  </w:tcBorders>
                  <w:shd w:val="clear" w:color="auto" w:fill="auto"/>
                  <w:noWrap/>
                  <w:vAlign w:val="bottom"/>
                  <w:hideMark/>
                </w:tcPr>
                <w:p w14:paraId="68B11A35" w14:textId="77777777" w:rsidR="0091074F" w:rsidRPr="0091074F" w:rsidRDefault="0091074F" w:rsidP="0091074F">
                  <w:pPr>
                    <w:rPr>
                      <w:rFonts w:ascii="Times New Roman" w:hAnsi="Times New Roman"/>
                      <w:sz w:val="20"/>
                      <w:szCs w:val="20"/>
                    </w:rPr>
                  </w:pPr>
                </w:p>
              </w:tc>
              <w:tc>
                <w:tcPr>
                  <w:tcW w:w="2680" w:type="dxa"/>
                  <w:tcBorders>
                    <w:top w:val="nil"/>
                    <w:left w:val="nil"/>
                    <w:bottom w:val="single" w:sz="4" w:space="0" w:color="auto"/>
                    <w:right w:val="single" w:sz="4" w:space="0" w:color="auto"/>
                  </w:tcBorders>
                  <w:shd w:val="clear" w:color="auto" w:fill="auto"/>
                  <w:noWrap/>
                  <w:vAlign w:val="bottom"/>
                  <w:hideMark/>
                </w:tcPr>
                <w:p w14:paraId="6D4762B4" w14:textId="77777777" w:rsidR="0091074F" w:rsidRPr="0091074F" w:rsidRDefault="0091074F" w:rsidP="0091074F">
                  <w:pPr>
                    <w:rPr>
                      <w:rFonts w:ascii="Times New Roman" w:hAnsi="Times New Roman"/>
                      <w:sz w:val="20"/>
                      <w:szCs w:val="20"/>
                    </w:rPr>
                  </w:pPr>
                </w:p>
              </w:tc>
            </w:tr>
            <w:tr w:rsidR="0091074F" w:rsidRPr="0091074F" w14:paraId="71944D20" w14:textId="77777777" w:rsidTr="0091074F">
              <w:trPr>
                <w:trHeight w:val="290"/>
              </w:trPr>
              <w:tc>
                <w:tcPr>
                  <w:tcW w:w="9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D9E1D6" w14:textId="77777777" w:rsidR="0091074F" w:rsidRPr="0091074F" w:rsidRDefault="0091074F" w:rsidP="0091074F">
                  <w:pPr>
                    <w:jc w:val="center"/>
                    <w:rPr>
                      <w:rFonts w:ascii="Calibri" w:hAnsi="Calibri"/>
                      <w:color w:val="000000"/>
                      <w:sz w:val="20"/>
                      <w:szCs w:val="20"/>
                    </w:rPr>
                  </w:pPr>
                  <w:r w:rsidRPr="0091074F">
                    <w:rPr>
                      <w:rFonts w:ascii="Calibri" w:hAnsi="Calibri"/>
                      <w:color w:val="000000"/>
                      <w:sz w:val="20"/>
                      <w:szCs w:val="20"/>
                    </w:rPr>
                    <w:t>PreRebUp</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14:paraId="12B972DC" w14:textId="77777777" w:rsidR="0091074F" w:rsidRPr="0091074F" w:rsidRDefault="0091074F" w:rsidP="0091074F">
                  <w:pPr>
                    <w:jc w:val="center"/>
                    <w:rPr>
                      <w:rFonts w:ascii="Calibri" w:hAnsi="Calibri"/>
                      <w:color w:val="000000"/>
                      <w:sz w:val="20"/>
                      <w:szCs w:val="20"/>
                    </w:rPr>
                  </w:pPr>
                  <w:r w:rsidRPr="0091074F">
                    <w:rPr>
                      <w:rFonts w:ascii="Calibri" w:hAnsi="Calibri"/>
                      <w:color w:val="000000"/>
                      <w:sz w:val="20"/>
                      <w:szCs w:val="20"/>
                    </w:rPr>
                    <w:t>PreRebDown</w:t>
                  </w:r>
                </w:p>
              </w:tc>
              <w:tc>
                <w:tcPr>
                  <w:tcW w:w="860" w:type="dxa"/>
                  <w:tcBorders>
                    <w:top w:val="single" w:sz="4" w:space="0" w:color="auto"/>
                    <w:left w:val="nil"/>
                    <w:bottom w:val="nil"/>
                    <w:right w:val="nil"/>
                  </w:tcBorders>
                  <w:shd w:val="clear" w:color="auto" w:fill="auto"/>
                  <w:noWrap/>
                  <w:vAlign w:val="bottom"/>
                  <w:hideMark/>
                </w:tcPr>
                <w:p w14:paraId="6F782A86" w14:textId="77777777" w:rsidR="0091074F" w:rsidRPr="0091074F" w:rsidRDefault="0091074F" w:rsidP="0091074F">
                  <w:pPr>
                    <w:jc w:val="center"/>
                    <w:rPr>
                      <w:rFonts w:ascii="Calibri" w:hAnsi="Calibri"/>
                      <w:color w:val="000000"/>
                      <w:sz w:val="20"/>
                      <w:szCs w:val="20"/>
                    </w:rPr>
                  </w:pPr>
                </w:p>
              </w:tc>
              <w:tc>
                <w:tcPr>
                  <w:tcW w:w="5300" w:type="dxa"/>
                  <w:gridSpan w:val="2"/>
                  <w:tcBorders>
                    <w:top w:val="single" w:sz="4" w:space="0" w:color="auto"/>
                    <w:left w:val="nil"/>
                    <w:bottom w:val="nil"/>
                    <w:right w:val="single" w:sz="4" w:space="0" w:color="auto"/>
                  </w:tcBorders>
                  <w:shd w:val="clear" w:color="auto" w:fill="auto"/>
                  <w:noWrap/>
                  <w:vAlign w:val="bottom"/>
                  <w:hideMark/>
                </w:tcPr>
                <w:p w14:paraId="70045741"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High-Bay and Low-Bay LED Measures</w:t>
                  </w:r>
                </w:p>
              </w:tc>
            </w:tr>
            <w:tr w:rsidR="0091074F" w:rsidRPr="0091074F" w14:paraId="0C5C64DC" w14:textId="77777777" w:rsidTr="0091074F">
              <w:trPr>
                <w:trHeight w:val="290"/>
              </w:trPr>
              <w:tc>
                <w:tcPr>
                  <w:tcW w:w="2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15FAFD8" w14:textId="77777777" w:rsidR="0091074F" w:rsidRPr="0091074F" w:rsidRDefault="0091074F" w:rsidP="0091074F">
                  <w:pPr>
                    <w:jc w:val="center"/>
                    <w:rPr>
                      <w:rFonts w:ascii="Calibri" w:hAnsi="Calibri"/>
                      <w:color w:val="000000"/>
                      <w:sz w:val="20"/>
                      <w:szCs w:val="20"/>
                    </w:rPr>
                  </w:pPr>
                  <w:r w:rsidRPr="0091074F">
                    <w:rPr>
                      <w:rFonts w:ascii="Calibri" w:hAnsi="Calibri"/>
                      <w:color w:val="000000"/>
                      <w:sz w:val="20"/>
                      <w:szCs w:val="20"/>
                    </w:rPr>
                    <w:t>New PB  Implementation</w:t>
                  </w:r>
                </w:p>
              </w:tc>
              <w:tc>
                <w:tcPr>
                  <w:tcW w:w="3480"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2EE9EEFA" w14:textId="77777777" w:rsidR="0091074F" w:rsidRPr="0091074F" w:rsidRDefault="0091074F" w:rsidP="0091074F">
                  <w:pPr>
                    <w:jc w:val="center"/>
                    <w:rPr>
                      <w:rFonts w:ascii="Calibri" w:hAnsi="Calibri"/>
                      <w:color w:val="000000"/>
                      <w:sz w:val="20"/>
                      <w:szCs w:val="20"/>
                    </w:rPr>
                  </w:pPr>
                  <w:r w:rsidRPr="0091074F">
                    <w:rPr>
                      <w:rFonts w:ascii="Calibri" w:hAnsi="Calibri"/>
                      <w:color w:val="000000"/>
                      <w:sz w:val="20"/>
                      <w:szCs w:val="20"/>
                    </w:rPr>
                    <w:t>2018</w:t>
                  </w:r>
                </w:p>
              </w:tc>
              <w:tc>
                <w:tcPr>
                  <w:tcW w:w="2680" w:type="dxa"/>
                  <w:tcBorders>
                    <w:top w:val="single" w:sz="4" w:space="0" w:color="auto"/>
                    <w:left w:val="nil"/>
                    <w:bottom w:val="single" w:sz="4" w:space="0" w:color="auto"/>
                    <w:right w:val="single" w:sz="4" w:space="0" w:color="auto"/>
                  </w:tcBorders>
                  <w:shd w:val="clear" w:color="auto" w:fill="auto"/>
                  <w:noWrap/>
                  <w:vAlign w:val="bottom"/>
                  <w:hideMark/>
                </w:tcPr>
                <w:p w14:paraId="5F81A9CF"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2018 DEER Msr ID</w:t>
                  </w:r>
                </w:p>
              </w:tc>
            </w:tr>
            <w:tr w:rsidR="0091074F" w:rsidRPr="0091074F" w14:paraId="3ED090E0" w14:textId="77777777" w:rsidTr="0091074F">
              <w:trPr>
                <w:trHeight w:val="790"/>
              </w:trPr>
              <w:tc>
                <w:tcPr>
                  <w:tcW w:w="920" w:type="dxa"/>
                  <w:tcBorders>
                    <w:top w:val="nil"/>
                    <w:left w:val="single" w:sz="4" w:space="0" w:color="auto"/>
                    <w:bottom w:val="single" w:sz="4" w:space="0" w:color="auto"/>
                    <w:right w:val="single" w:sz="4" w:space="0" w:color="auto"/>
                  </w:tcBorders>
                  <w:shd w:val="clear" w:color="000000" w:fill="FFFFFF"/>
                  <w:vAlign w:val="bottom"/>
                  <w:hideMark/>
                </w:tcPr>
                <w:p w14:paraId="4F960CA9"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465243</w:t>
                  </w:r>
                </w:p>
              </w:tc>
              <w:tc>
                <w:tcPr>
                  <w:tcW w:w="1160" w:type="dxa"/>
                  <w:tcBorders>
                    <w:top w:val="nil"/>
                    <w:left w:val="nil"/>
                    <w:bottom w:val="single" w:sz="4" w:space="0" w:color="auto"/>
                    <w:right w:val="single" w:sz="4" w:space="0" w:color="auto"/>
                  </w:tcBorders>
                  <w:shd w:val="clear" w:color="000000" w:fill="FFFFFF"/>
                  <w:vAlign w:val="bottom"/>
                  <w:hideMark/>
                </w:tcPr>
                <w:p w14:paraId="4A7086D6"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465261</w:t>
                  </w:r>
                </w:p>
              </w:tc>
              <w:tc>
                <w:tcPr>
                  <w:tcW w:w="86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9F1989B" w14:textId="77777777" w:rsidR="0091074F" w:rsidRPr="0091074F" w:rsidRDefault="0091074F" w:rsidP="0091074F">
                  <w:pPr>
                    <w:jc w:val="center"/>
                    <w:rPr>
                      <w:rFonts w:ascii="Calibri" w:hAnsi="Calibri"/>
                      <w:color w:val="000000"/>
                      <w:sz w:val="20"/>
                      <w:szCs w:val="20"/>
                    </w:rPr>
                  </w:pPr>
                  <w:r w:rsidRPr="0091074F">
                    <w:rPr>
                      <w:rFonts w:ascii="Calibri" w:hAnsi="Calibri"/>
                      <w:color w:val="000000"/>
                      <w:sz w:val="20"/>
                      <w:szCs w:val="20"/>
                    </w:rPr>
                    <w:t>Tier 1</w:t>
                  </w:r>
                </w:p>
              </w:tc>
              <w:tc>
                <w:tcPr>
                  <w:tcW w:w="2620" w:type="dxa"/>
                  <w:tcBorders>
                    <w:top w:val="nil"/>
                    <w:left w:val="nil"/>
                    <w:bottom w:val="single" w:sz="4" w:space="0" w:color="auto"/>
                    <w:right w:val="single" w:sz="4" w:space="0" w:color="auto"/>
                  </w:tcBorders>
                  <w:shd w:val="clear" w:color="000000" w:fill="FFFFFF"/>
                  <w:vAlign w:val="bottom"/>
                  <w:hideMark/>
                </w:tcPr>
                <w:p w14:paraId="24785C7C"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LED Fixture: High/Low Bay, 110 LPW to &lt;130 LPW, 0 to &lt;48 W</w:t>
                  </w:r>
                </w:p>
              </w:tc>
              <w:tc>
                <w:tcPr>
                  <w:tcW w:w="2680" w:type="dxa"/>
                  <w:tcBorders>
                    <w:top w:val="nil"/>
                    <w:left w:val="nil"/>
                    <w:bottom w:val="single" w:sz="4" w:space="0" w:color="auto"/>
                    <w:right w:val="single" w:sz="4" w:space="0" w:color="auto"/>
                  </w:tcBorders>
                  <w:shd w:val="clear" w:color="000000" w:fill="FFFFFF"/>
                  <w:vAlign w:val="center"/>
                  <w:hideMark/>
                </w:tcPr>
                <w:p w14:paraId="3880C349"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C-In-LEDFixt(47.99w)-dwP4.8</w:t>
                  </w:r>
                </w:p>
              </w:tc>
            </w:tr>
            <w:tr w:rsidR="0091074F" w:rsidRPr="0091074F" w14:paraId="30446840" w14:textId="77777777" w:rsidTr="0091074F">
              <w:trPr>
                <w:trHeight w:val="790"/>
              </w:trPr>
              <w:tc>
                <w:tcPr>
                  <w:tcW w:w="920" w:type="dxa"/>
                  <w:tcBorders>
                    <w:top w:val="nil"/>
                    <w:left w:val="single" w:sz="4" w:space="0" w:color="auto"/>
                    <w:bottom w:val="single" w:sz="4" w:space="0" w:color="auto"/>
                    <w:right w:val="single" w:sz="4" w:space="0" w:color="auto"/>
                  </w:tcBorders>
                  <w:shd w:val="clear" w:color="000000" w:fill="FFFFFF"/>
                  <w:vAlign w:val="bottom"/>
                  <w:hideMark/>
                </w:tcPr>
                <w:p w14:paraId="6252B48B"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465244</w:t>
                  </w:r>
                </w:p>
              </w:tc>
              <w:tc>
                <w:tcPr>
                  <w:tcW w:w="1160" w:type="dxa"/>
                  <w:tcBorders>
                    <w:top w:val="nil"/>
                    <w:left w:val="nil"/>
                    <w:bottom w:val="single" w:sz="4" w:space="0" w:color="auto"/>
                    <w:right w:val="single" w:sz="4" w:space="0" w:color="auto"/>
                  </w:tcBorders>
                  <w:shd w:val="clear" w:color="000000" w:fill="FFFFFF"/>
                  <w:vAlign w:val="bottom"/>
                  <w:hideMark/>
                </w:tcPr>
                <w:p w14:paraId="19E52A2A"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465262</w:t>
                  </w:r>
                </w:p>
              </w:tc>
              <w:tc>
                <w:tcPr>
                  <w:tcW w:w="860" w:type="dxa"/>
                  <w:vMerge/>
                  <w:tcBorders>
                    <w:top w:val="nil"/>
                    <w:left w:val="single" w:sz="4" w:space="0" w:color="auto"/>
                    <w:bottom w:val="single" w:sz="4" w:space="0" w:color="000000"/>
                    <w:right w:val="single" w:sz="4" w:space="0" w:color="auto"/>
                  </w:tcBorders>
                  <w:vAlign w:val="center"/>
                  <w:hideMark/>
                </w:tcPr>
                <w:p w14:paraId="078F55CB" w14:textId="77777777" w:rsidR="0091074F" w:rsidRPr="0091074F" w:rsidRDefault="0091074F" w:rsidP="0091074F">
                  <w:pPr>
                    <w:rPr>
                      <w:rFonts w:ascii="Calibri" w:hAnsi="Calibri"/>
                      <w:color w:val="000000"/>
                      <w:sz w:val="20"/>
                      <w:szCs w:val="20"/>
                    </w:rPr>
                  </w:pPr>
                </w:p>
              </w:tc>
              <w:tc>
                <w:tcPr>
                  <w:tcW w:w="2620" w:type="dxa"/>
                  <w:tcBorders>
                    <w:top w:val="nil"/>
                    <w:left w:val="nil"/>
                    <w:bottom w:val="single" w:sz="4" w:space="0" w:color="auto"/>
                    <w:right w:val="single" w:sz="4" w:space="0" w:color="auto"/>
                  </w:tcBorders>
                  <w:shd w:val="clear" w:color="000000" w:fill="FFFFFF"/>
                  <w:vAlign w:val="bottom"/>
                  <w:hideMark/>
                </w:tcPr>
                <w:p w14:paraId="20DAF9A1"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LED Fixture: High/Low Bay, 110 LPW to &lt;130 LPW, 48 to &lt;71 W</w:t>
                  </w:r>
                </w:p>
              </w:tc>
              <w:tc>
                <w:tcPr>
                  <w:tcW w:w="2680" w:type="dxa"/>
                  <w:tcBorders>
                    <w:top w:val="nil"/>
                    <w:left w:val="nil"/>
                    <w:bottom w:val="single" w:sz="4" w:space="0" w:color="auto"/>
                    <w:right w:val="single" w:sz="4" w:space="0" w:color="auto"/>
                  </w:tcBorders>
                  <w:shd w:val="clear" w:color="000000" w:fill="FFFFFF"/>
                  <w:vAlign w:val="center"/>
                  <w:hideMark/>
                </w:tcPr>
                <w:p w14:paraId="0BA767C3"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C-In-LEDFixt(70.99w)-dwP10</w:t>
                  </w:r>
                </w:p>
              </w:tc>
            </w:tr>
            <w:tr w:rsidR="0091074F" w:rsidRPr="0091074F" w14:paraId="7AD8020F" w14:textId="77777777" w:rsidTr="0091074F">
              <w:trPr>
                <w:trHeight w:val="790"/>
              </w:trPr>
              <w:tc>
                <w:tcPr>
                  <w:tcW w:w="920" w:type="dxa"/>
                  <w:tcBorders>
                    <w:top w:val="nil"/>
                    <w:left w:val="single" w:sz="4" w:space="0" w:color="auto"/>
                    <w:bottom w:val="single" w:sz="4" w:space="0" w:color="auto"/>
                    <w:right w:val="single" w:sz="4" w:space="0" w:color="auto"/>
                  </w:tcBorders>
                  <w:shd w:val="clear" w:color="000000" w:fill="FFFFFF"/>
                  <w:vAlign w:val="bottom"/>
                  <w:hideMark/>
                </w:tcPr>
                <w:p w14:paraId="4B6032DF"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465245</w:t>
                  </w:r>
                </w:p>
              </w:tc>
              <w:tc>
                <w:tcPr>
                  <w:tcW w:w="1160" w:type="dxa"/>
                  <w:tcBorders>
                    <w:top w:val="nil"/>
                    <w:left w:val="nil"/>
                    <w:bottom w:val="single" w:sz="4" w:space="0" w:color="auto"/>
                    <w:right w:val="single" w:sz="4" w:space="0" w:color="auto"/>
                  </w:tcBorders>
                  <w:shd w:val="clear" w:color="000000" w:fill="FFFFFF"/>
                  <w:vAlign w:val="bottom"/>
                  <w:hideMark/>
                </w:tcPr>
                <w:p w14:paraId="448C63C3"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465263</w:t>
                  </w:r>
                </w:p>
              </w:tc>
              <w:tc>
                <w:tcPr>
                  <w:tcW w:w="860" w:type="dxa"/>
                  <w:vMerge/>
                  <w:tcBorders>
                    <w:top w:val="nil"/>
                    <w:left w:val="single" w:sz="4" w:space="0" w:color="auto"/>
                    <w:bottom w:val="single" w:sz="4" w:space="0" w:color="000000"/>
                    <w:right w:val="single" w:sz="4" w:space="0" w:color="auto"/>
                  </w:tcBorders>
                  <w:vAlign w:val="center"/>
                  <w:hideMark/>
                </w:tcPr>
                <w:p w14:paraId="58DC0602" w14:textId="77777777" w:rsidR="0091074F" w:rsidRPr="0091074F" w:rsidRDefault="0091074F" w:rsidP="0091074F">
                  <w:pPr>
                    <w:rPr>
                      <w:rFonts w:ascii="Calibri" w:hAnsi="Calibri"/>
                      <w:color w:val="000000"/>
                      <w:sz w:val="20"/>
                      <w:szCs w:val="20"/>
                    </w:rPr>
                  </w:pPr>
                </w:p>
              </w:tc>
              <w:tc>
                <w:tcPr>
                  <w:tcW w:w="2620" w:type="dxa"/>
                  <w:tcBorders>
                    <w:top w:val="nil"/>
                    <w:left w:val="nil"/>
                    <w:bottom w:val="single" w:sz="4" w:space="0" w:color="auto"/>
                    <w:right w:val="single" w:sz="4" w:space="0" w:color="auto"/>
                  </w:tcBorders>
                  <w:shd w:val="clear" w:color="000000" w:fill="FFFFFF"/>
                  <w:vAlign w:val="bottom"/>
                  <w:hideMark/>
                </w:tcPr>
                <w:p w14:paraId="0BDF5039"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LED Fixture: High/Low Bay, 110 LPW to &lt;130 LPW, 71 to &lt;90 W</w:t>
                  </w:r>
                </w:p>
              </w:tc>
              <w:tc>
                <w:tcPr>
                  <w:tcW w:w="2680" w:type="dxa"/>
                  <w:tcBorders>
                    <w:top w:val="nil"/>
                    <w:left w:val="nil"/>
                    <w:bottom w:val="single" w:sz="4" w:space="0" w:color="auto"/>
                    <w:right w:val="single" w:sz="4" w:space="0" w:color="auto"/>
                  </w:tcBorders>
                  <w:shd w:val="clear" w:color="000000" w:fill="FFFFFF"/>
                  <w:vAlign w:val="center"/>
                  <w:hideMark/>
                </w:tcPr>
                <w:p w14:paraId="111557DA"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C-In-LEDFixt(89.99w)-dwP15.4</w:t>
                  </w:r>
                </w:p>
              </w:tc>
            </w:tr>
            <w:tr w:rsidR="0091074F" w:rsidRPr="0091074F" w14:paraId="5277EA14" w14:textId="77777777" w:rsidTr="0091074F">
              <w:trPr>
                <w:trHeight w:val="790"/>
              </w:trPr>
              <w:tc>
                <w:tcPr>
                  <w:tcW w:w="920" w:type="dxa"/>
                  <w:tcBorders>
                    <w:top w:val="nil"/>
                    <w:left w:val="single" w:sz="4" w:space="0" w:color="auto"/>
                    <w:bottom w:val="single" w:sz="4" w:space="0" w:color="auto"/>
                    <w:right w:val="single" w:sz="4" w:space="0" w:color="auto"/>
                  </w:tcBorders>
                  <w:shd w:val="clear" w:color="000000" w:fill="FFFFFF"/>
                  <w:vAlign w:val="bottom"/>
                  <w:hideMark/>
                </w:tcPr>
                <w:p w14:paraId="4BD3FEAC"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465246</w:t>
                  </w:r>
                </w:p>
              </w:tc>
              <w:tc>
                <w:tcPr>
                  <w:tcW w:w="1160" w:type="dxa"/>
                  <w:tcBorders>
                    <w:top w:val="nil"/>
                    <w:left w:val="nil"/>
                    <w:bottom w:val="single" w:sz="4" w:space="0" w:color="auto"/>
                    <w:right w:val="single" w:sz="4" w:space="0" w:color="auto"/>
                  </w:tcBorders>
                  <w:shd w:val="clear" w:color="000000" w:fill="FFFFFF"/>
                  <w:vAlign w:val="bottom"/>
                  <w:hideMark/>
                </w:tcPr>
                <w:p w14:paraId="1EDDE4D4"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465264</w:t>
                  </w:r>
                </w:p>
              </w:tc>
              <w:tc>
                <w:tcPr>
                  <w:tcW w:w="860" w:type="dxa"/>
                  <w:vMerge/>
                  <w:tcBorders>
                    <w:top w:val="nil"/>
                    <w:left w:val="single" w:sz="4" w:space="0" w:color="auto"/>
                    <w:bottom w:val="single" w:sz="4" w:space="0" w:color="000000"/>
                    <w:right w:val="single" w:sz="4" w:space="0" w:color="auto"/>
                  </w:tcBorders>
                  <w:vAlign w:val="center"/>
                  <w:hideMark/>
                </w:tcPr>
                <w:p w14:paraId="41A05269" w14:textId="77777777" w:rsidR="0091074F" w:rsidRPr="0091074F" w:rsidRDefault="0091074F" w:rsidP="0091074F">
                  <w:pPr>
                    <w:rPr>
                      <w:rFonts w:ascii="Calibri" w:hAnsi="Calibri"/>
                      <w:color w:val="000000"/>
                      <w:sz w:val="20"/>
                      <w:szCs w:val="20"/>
                    </w:rPr>
                  </w:pPr>
                </w:p>
              </w:tc>
              <w:tc>
                <w:tcPr>
                  <w:tcW w:w="2620" w:type="dxa"/>
                  <w:tcBorders>
                    <w:top w:val="nil"/>
                    <w:left w:val="nil"/>
                    <w:bottom w:val="single" w:sz="4" w:space="0" w:color="auto"/>
                    <w:right w:val="single" w:sz="4" w:space="0" w:color="auto"/>
                  </w:tcBorders>
                  <w:shd w:val="clear" w:color="000000" w:fill="FFFFFF"/>
                  <w:vAlign w:val="bottom"/>
                  <w:hideMark/>
                </w:tcPr>
                <w:p w14:paraId="3E86653B"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LED Fixture: High/Low Bay, 120 LPW to &lt;130 LPW, 90 to &lt;125 W</w:t>
                  </w:r>
                </w:p>
              </w:tc>
              <w:tc>
                <w:tcPr>
                  <w:tcW w:w="2680" w:type="dxa"/>
                  <w:tcBorders>
                    <w:top w:val="nil"/>
                    <w:left w:val="nil"/>
                    <w:bottom w:val="single" w:sz="4" w:space="0" w:color="auto"/>
                    <w:right w:val="single" w:sz="4" w:space="0" w:color="auto"/>
                  </w:tcBorders>
                  <w:shd w:val="clear" w:color="000000" w:fill="FFFFFF"/>
                  <w:vAlign w:val="center"/>
                  <w:hideMark/>
                </w:tcPr>
                <w:p w14:paraId="44E64F2A"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C-In-LEDFixt(124.99w)-dwP17.6</w:t>
                  </w:r>
                </w:p>
              </w:tc>
            </w:tr>
            <w:tr w:rsidR="0091074F" w:rsidRPr="0091074F" w14:paraId="2D8F77A1" w14:textId="77777777" w:rsidTr="0091074F">
              <w:trPr>
                <w:trHeight w:val="530"/>
              </w:trPr>
              <w:tc>
                <w:tcPr>
                  <w:tcW w:w="920" w:type="dxa"/>
                  <w:tcBorders>
                    <w:top w:val="nil"/>
                    <w:left w:val="single" w:sz="4" w:space="0" w:color="auto"/>
                    <w:bottom w:val="single" w:sz="4" w:space="0" w:color="auto"/>
                    <w:right w:val="single" w:sz="4" w:space="0" w:color="auto"/>
                  </w:tcBorders>
                  <w:shd w:val="clear" w:color="000000" w:fill="FFFFFF"/>
                  <w:vAlign w:val="bottom"/>
                  <w:hideMark/>
                </w:tcPr>
                <w:p w14:paraId="5D5BE9B7"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465247</w:t>
                  </w:r>
                </w:p>
              </w:tc>
              <w:tc>
                <w:tcPr>
                  <w:tcW w:w="1160" w:type="dxa"/>
                  <w:tcBorders>
                    <w:top w:val="nil"/>
                    <w:left w:val="nil"/>
                    <w:bottom w:val="single" w:sz="4" w:space="0" w:color="auto"/>
                    <w:right w:val="single" w:sz="4" w:space="0" w:color="auto"/>
                  </w:tcBorders>
                  <w:shd w:val="clear" w:color="000000" w:fill="FFFFFF"/>
                  <w:vAlign w:val="bottom"/>
                  <w:hideMark/>
                </w:tcPr>
                <w:p w14:paraId="2A21F343"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465265</w:t>
                  </w:r>
                </w:p>
              </w:tc>
              <w:tc>
                <w:tcPr>
                  <w:tcW w:w="86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37E2CC0" w14:textId="77777777" w:rsidR="0091074F" w:rsidRPr="0091074F" w:rsidRDefault="0091074F" w:rsidP="0091074F">
                  <w:pPr>
                    <w:jc w:val="center"/>
                    <w:rPr>
                      <w:rFonts w:ascii="Calibri" w:hAnsi="Calibri"/>
                      <w:color w:val="000000"/>
                      <w:sz w:val="20"/>
                      <w:szCs w:val="20"/>
                    </w:rPr>
                  </w:pPr>
                  <w:r w:rsidRPr="0091074F">
                    <w:rPr>
                      <w:rFonts w:ascii="Calibri" w:hAnsi="Calibri"/>
                      <w:color w:val="000000"/>
                      <w:sz w:val="20"/>
                      <w:szCs w:val="20"/>
                    </w:rPr>
                    <w:t>Tier 2</w:t>
                  </w:r>
                </w:p>
              </w:tc>
              <w:tc>
                <w:tcPr>
                  <w:tcW w:w="2620" w:type="dxa"/>
                  <w:tcBorders>
                    <w:top w:val="nil"/>
                    <w:left w:val="nil"/>
                    <w:bottom w:val="single" w:sz="4" w:space="0" w:color="auto"/>
                    <w:right w:val="single" w:sz="4" w:space="0" w:color="auto"/>
                  </w:tcBorders>
                  <w:shd w:val="clear" w:color="000000" w:fill="FFFFFF"/>
                  <w:vAlign w:val="bottom"/>
                  <w:hideMark/>
                </w:tcPr>
                <w:p w14:paraId="4A87B2AB"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LED Fixture: High/Low Bay, &gt;=130 LPW, 0 to &lt;42 W</w:t>
                  </w:r>
                </w:p>
              </w:tc>
              <w:tc>
                <w:tcPr>
                  <w:tcW w:w="2680" w:type="dxa"/>
                  <w:tcBorders>
                    <w:top w:val="nil"/>
                    <w:left w:val="nil"/>
                    <w:bottom w:val="single" w:sz="4" w:space="0" w:color="auto"/>
                    <w:right w:val="single" w:sz="4" w:space="0" w:color="auto"/>
                  </w:tcBorders>
                  <w:shd w:val="clear" w:color="000000" w:fill="FFFFFF"/>
                  <w:vAlign w:val="center"/>
                  <w:hideMark/>
                </w:tcPr>
                <w:p w14:paraId="52DE19C5"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C-In-LEDFixt(41.99w)-dwP10.8</w:t>
                  </w:r>
                </w:p>
              </w:tc>
            </w:tr>
            <w:tr w:rsidR="0091074F" w:rsidRPr="0091074F" w14:paraId="223496F0" w14:textId="77777777" w:rsidTr="0091074F">
              <w:trPr>
                <w:trHeight w:val="530"/>
              </w:trPr>
              <w:tc>
                <w:tcPr>
                  <w:tcW w:w="920" w:type="dxa"/>
                  <w:tcBorders>
                    <w:top w:val="nil"/>
                    <w:left w:val="single" w:sz="4" w:space="0" w:color="auto"/>
                    <w:bottom w:val="single" w:sz="4" w:space="0" w:color="auto"/>
                    <w:right w:val="single" w:sz="4" w:space="0" w:color="auto"/>
                  </w:tcBorders>
                  <w:shd w:val="clear" w:color="000000" w:fill="FFFFFF"/>
                  <w:vAlign w:val="bottom"/>
                  <w:hideMark/>
                </w:tcPr>
                <w:p w14:paraId="73ED25E4"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465248</w:t>
                  </w:r>
                </w:p>
              </w:tc>
              <w:tc>
                <w:tcPr>
                  <w:tcW w:w="1160" w:type="dxa"/>
                  <w:tcBorders>
                    <w:top w:val="nil"/>
                    <w:left w:val="nil"/>
                    <w:bottom w:val="single" w:sz="4" w:space="0" w:color="auto"/>
                    <w:right w:val="single" w:sz="4" w:space="0" w:color="auto"/>
                  </w:tcBorders>
                  <w:shd w:val="clear" w:color="000000" w:fill="FFFFFF"/>
                  <w:vAlign w:val="bottom"/>
                  <w:hideMark/>
                </w:tcPr>
                <w:p w14:paraId="6BD383D4"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465266</w:t>
                  </w:r>
                </w:p>
              </w:tc>
              <w:tc>
                <w:tcPr>
                  <w:tcW w:w="860" w:type="dxa"/>
                  <w:vMerge/>
                  <w:tcBorders>
                    <w:top w:val="nil"/>
                    <w:left w:val="single" w:sz="4" w:space="0" w:color="auto"/>
                    <w:bottom w:val="single" w:sz="4" w:space="0" w:color="000000"/>
                    <w:right w:val="single" w:sz="4" w:space="0" w:color="auto"/>
                  </w:tcBorders>
                  <w:vAlign w:val="center"/>
                  <w:hideMark/>
                </w:tcPr>
                <w:p w14:paraId="2C753A5A" w14:textId="77777777" w:rsidR="0091074F" w:rsidRPr="0091074F" w:rsidRDefault="0091074F" w:rsidP="0091074F">
                  <w:pPr>
                    <w:rPr>
                      <w:rFonts w:ascii="Calibri" w:hAnsi="Calibri"/>
                      <w:color w:val="000000"/>
                      <w:sz w:val="20"/>
                      <w:szCs w:val="20"/>
                    </w:rPr>
                  </w:pPr>
                </w:p>
              </w:tc>
              <w:tc>
                <w:tcPr>
                  <w:tcW w:w="2620" w:type="dxa"/>
                  <w:tcBorders>
                    <w:top w:val="nil"/>
                    <w:left w:val="nil"/>
                    <w:bottom w:val="single" w:sz="4" w:space="0" w:color="auto"/>
                    <w:right w:val="single" w:sz="4" w:space="0" w:color="auto"/>
                  </w:tcBorders>
                  <w:shd w:val="clear" w:color="000000" w:fill="FFFFFF"/>
                  <w:vAlign w:val="bottom"/>
                  <w:hideMark/>
                </w:tcPr>
                <w:p w14:paraId="284C5C8C"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LED Fixture: High/Low Bay, &gt;=130 LPW, 42 to &lt;60 W</w:t>
                  </w:r>
                </w:p>
              </w:tc>
              <w:tc>
                <w:tcPr>
                  <w:tcW w:w="2680" w:type="dxa"/>
                  <w:tcBorders>
                    <w:top w:val="nil"/>
                    <w:left w:val="nil"/>
                    <w:bottom w:val="single" w:sz="4" w:space="0" w:color="auto"/>
                    <w:right w:val="single" w:sz="4" w:space="0" w:color="auto"/>
                  </w:tcBorders>
                  <w:shd w:val="clear" w:color="000000" w:fill="FFFFFF"/>
                  <w:vAlign w:val="center"/>
                  <w:hideMark/>
                </w:tcPr>
                <w:p w14:paraId="14873623"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C-In-LEDFixt(59.99w)-dwP21</w:t>
                  </w:r>
                </w:p>
              </w:tc>
            </w:tr>
            <w:tr w:rsidR="0091074F" w:rsidRPr="0091074F" w14:paraId="72DD7AEE" w14:textId="77777777" w:rsidTr="0091074F">
              <w:trPr>
                <w:trHeight w:val="530"/>
              </w:trPr>
              <w:tc>
                <w:tcPr>
                  <w:tcW w:w="920" w:type="dxa"/>
                  <w:tcBorders>
                    <w:top w:val="nil"/>
                    <w:left w:val="single" w:sz="4" w:space="0" w:color="auto"/>
                    <w:bottom w:val="single" w:sz="4" w:space="0" w:color="auto"/>
                    <w:right w:val="single" w:sz="4" w:space="0" w:color="auto"/>
                  </w:tcBorders>
                  <w:shd w:val="clear" w:color="000000" w:fill="FFFFFF"/>
                  <w:vAlign w:val="bottom"/>
                  <w:hideMark/>
                </w:tcPr>
                <w:p w14:paraId="568F2DD5"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465249</w:t>
                  </w:r>
                </w:p>
              </w:tc>
              <w:tc>
                <w:tcPr>
                  <w:tcW w:w="1160" w:type="dxa"/>
                  <w:tcBorders>
                    <w:top w:val="nil"/>
                    <w:left w:val="nil"/>
                    <w:bottom w:val="single" w:sz="4" w:space="0" w:color="auto"/>
                    <w:right w:val="single" w:sz="4" w:space="0" w:color="auto"/>
                  </w:tcBorders>
                  <w:shd w:val="clear" w:color="000000" w:fill="FFFFFF"/>
                  <w:vAlign w:val="bottom"/>
                  <w:hideMark/>
                </w:tcPr>
                <w:p w14:paraId="4DDE2A81"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465267</w:t>
                  </w:r>
                </w:p>
              </w:tc>
              <w:tc>
                <w:tcPr>
                  <w:tcW w:w="860" w:type="dxa"/>
                  <w:vMerge/>
                  <w:tcBorders>
                    <w:top w:val="nil"/>
                    <w:left w:val="single" w:sz="4" w:space="0" w:color="auto"/>
                    <w:bottom w:val="single" w:sz="4" w:space="0" w:color="000000"/>
                    <w:right w:val="single" w:sz="4" w:space="0" w:color="auto"/>
                  </w:tcBorders>
                  <w:vAlign w:val="center"/>
                  <w:hideMark/>
                </w:tcPr>
                <w:p w14:paraId="5F1186CE" w14:textId="77777777" w:rsidR="0091074F" w:rsidRPr="0091074F" w:rsidRDefault="0091074F" w:rsidP="0091074F">
                  <w:pPr>
                    <w:rPr>
                      <w:rFonts w:ascii="Calibri" w:hAnsi="Calibri"/>
                      <w:color w:val="000000"/>
                      <w:sz w:val="20"/>
                      <w:szCs w:val="20"/>
                    </w:rPr>
                  </w:pPr>
                </w:p>
              </w:tc>
              <w:tc>
                <w:tcPr>
                  <w:tcW w:w="2620" w:type="dxa"/>
                  <w:tcBorders>
                    <w:top w:val="nil"/>
                    <w:left w:val="nil"/>
                    <w:bottom w:val="single" w:sz="4" w:space="0" w:color="auto"/>
                    <w:right w:val="single" w:sz="4" w:space="0" w:color="auto"/>
                  </w:tcBorders>
                  <w:shd w:val="clear" w:color="000000" w:fill="FFFFFF"/>
                  <w:vAlign w:val="bottom"/>
                  <w:hideMark/>
                </w:tcPr>
                <w:p w14:paraId="3E6D74E9"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LED Fixture: High/Low Bay, &gt;=130 LPW, 60 to &lt;82 W</w:t>
                  </w:r>
                </w:p>
              </w:tc>
              <w:tc>
                <w:tcPr>
                  <w:tcW w:w="2680" w:type="dxa"/>
                  <w:tcBorders>
                    <w:top w:val="nil"/>
                    <w:left w:val="nil"/>
                    <w:bottom w:val="single" w:sz="4" w:space="0" w:color="auto"/>
                    <w:right w:val="single" w:sz="4" w:space="0" w:color="auto"/>
                  </w:tcBorders>
                  <w:shd w:val="clear" w:color="000000" w:fill="FFFFFF"/>
                  <w:vAlign w:val="center"/>
                  <w:hideMark/>
                </w:tcPr>
                <w:p w14:paraId="082AF3F4"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C-In-LEDFixt(81.99w)-dwP23.4</w:t>
                  </w:r>
                </w:p>
              </w:tc>
            </w:tr>
            <w:tr w:rsidR="0091074F" w:rsidRPr="0091074F" w14:paraId="23633F34" w14:textId="77777777" w:rsidTr="0091074F">
              <w:trPr>
                <w:trHeight w:val="530"/>
              </w:trPr>
              <w:tc>
                <w:tcPr>
                  <w:tcW w:w="920" w:type="dxa"/>
                  <w:tcBorders>
                    <w:top w:val="nil"/>
                    <w:left w:val="single" w:sz="4" w:space="0" w:color="auto"/>
                    <w:bottom w:val="single" w:sz="4" w:space="0" w:color="auto"/>
                    <w:right w:val="single" w:sz="4" w:space="0" w:color="auto"/>
                  </w:tcBorders>
                  <w:shd w:val="clear" w:color="000000" w:fill="FFFFFF"/>
                  <w:vAlign w:val="bottom"/>
                  <w:hideMark/>
                </w:tcPr>
                <w:p w14:paraId="35C1EB81"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465250</w:t>
                  </w:r>
                </w:p>
              </w:tc>
              <w:tc>
                <w:tcPr>
                  <w:tcW w:w="1160" w:type="dxa"/>
                  <w:tcBorders>
                    <w:top w:val="nil"/>
                    <w:left w:val="nil"/>
                    <w:bottom w:val="single" w:sz="4" w:space="0" w:color="auto"/>
                    <w:right w:val="single" w:sz="4" w:space="0" w:color="auto"/>
                  </w:tcBorders>
                  <w:shd w:val="clear" w:color="000000" w:fill="FFFFFF"/>
                  <w:vAlign w:val="bottom"/>
                  <w:hideMark/>
                </w:tcPr>
                <w:p w14:paraId="6B749531"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465268</w:t>
                  </w:r>
                </w:p>
              </w:tc>
              <w:tc>
                <w:tcPr>
                  <w:tcW w:w="860" w:type="dxa"/>
                  <w:vMerge/>
                  <w:tcBorders>
                    <w:top w:val="nil"/>
                    <w:left w:val="single" w:sz="4" w:space="0" w:color="auto"/>
                    <w:bottom w:val="single" w:sz="4" w:space="0" w:color="000000"/>
                    <w:right w:val="single" w:sz="4" w:space="0" w:color="auto"/>
                  </w:tcBorders>
                  <w:vAlign w:val="center"/>
                  <w:hideMark/>
                </w:tcPr>
                <w:p w14:paraId="728C7721" w14:textId="77777777" w:rsidR="0091074F" w:rsidRPr="0091074F" w:rsidRDefault="0091074F" w:rsidP="0091074F">
                  <w:pPr>
                    <w:rPr>
                      <w:rFonts w:ascii="Calibri" w:hAnsi="Calibri"/>
                      <w:color w:val="000000"/>
                      <w:sz w:val="20"/>
                      <w:szCs w:val="20"/>
                    </w:rPr>
                  </w:pPr>
                </w:p>
              </w:tc>
              <w:tc>
                <w:tcPr>
                  <w:tcW w:w="2620" w:type="dxa"/>
                  <w:tcBorders>
                    <w:top w:val="nil"/>
                    <w:left w:val="nil"/>
                    <w:bottom w:val="single" w:sz="4" w:space="0" w:color="auto"/>
                    <w:right w:val="single" w:sz="4" w:space="0" w:color="auto"/>
                  </w:tcBorders>
                  <w:shd w:val="clear" w:color="000000" w:fill="FFFFFF"/>
                  <w:vAlign w:val="bottom"/>
                  <w:hideMark/>
                </w:tcPr>
                <w:p w14:paraId="11C3106C"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LED Fixture: High/Low Bay, &gt;=130 LPW, 82 to &lt;113 W</w:t>
                  </w:r>
                </w:p>
              </w:tc>
              <w:tc>
                <w:tcPr>
                  <w:tcW w:w="2680" w:type="dxa"/>
                  <w:tcBorders>
                    <w:top w:val="nil"/>
                    <w:left w:val="nil"/>
                    <w:bottom w:val="single" w:sz="4" w:space="0" w:color="auto"/>
                    <w:right w:val="single" w:sz="4" w:space="0" w:color="auto"/>
                  </w:tcBorders>
                  <w:shd w:val="clear" w:color="000000" w:fill="FFFFFF"/>
                  <w:vAlign w:val="center"/>
                  <w:hideMark/>
                </w:tcPr>
                <w:p w14:paraId="0359B436"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C-In-LEDFixt(112.99w)-dwP29.6</w:t>
                  </w:r>
                </w:p>
              </w:tc>
            </w:tr>
            <w:tr w:rsidR="0091074F" w:rsidRPr="0091074F" w14:paraId="2CAB82CD" w14:textId="77777777" w:rsidTr="0091074F">
              <w:trPr>
                <w:trHeight w:val="790"/>
              </w:trPr>
              <w:tc>
                <w:tcPr>
                  <w:tcW w:w="920" w:type="dxa"/>
                  <w:tcBorders>
                    <w:top w:val="nil"/>
                    <w:left w:val="single" w:sz="4" w:space="0" w:color="auto"/>
                    <w:bottom w:val="single" w:sz="4" w:space="0" w:color="auto"/>
                    <w:right w:val="single" w:sz="4" w:space="0" w:color="auto"/>
                  </w:tcBorders>
                  <w:shd w:val="clear" w:color="000000" w:fill="FFFFFF"/>
                  <w:vAlign w:val="bottom"/>
                  <w:hideMark/>
                </w:tcPr>
                <w:p w14:paraId="317C8196"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465251</w:t>
                  </w:r>
                </w:p>
              </w:tc>
              <w:tc>
                <w:tcPr>
                  <w:tcW w:w="1160" w:type="dxa"/>
                  <w:tcBorders>
                    <w:top w:val="nil"/>
                    <w:left w:val="nil"/>
                    <w:bottom w:val="single" w:sz="4" w:space="0" w:color="auto"/>
                    <w:right w:val="single" w:sz="4" w:space="0" w:color="auto"/>
                  </w:tcBorders>
                  <w:shd w:val="clear" w:color="000000" w:fill="FFFFFF"/>
                  <w:vAlign w:val="bottom"/>
                  <w:hideMark/>
                </w:tcPr>
                <w:p w14:paraId="10842D37"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465269</w:t>
                  </w:r>
                </w:p>
              </w:tc>
              <w:tc>
                <w:tcPr>
                  <w:tcW w:w="860" w:type="dxa"/>
                  <w:tcBorders>
                    <w:top w:val="nil"/>
                    <w:left w:val="nil"/>
                    <w:bottom w:val="single" w:sz="4" w:space="0" w:color="auto"/>
                    <w:right w:val="single" w:sz="4" w:space="0" w:color="auto"/>
                  </w:tcBorders>
                  <w:shd w:val="clear" w:color="000000" w:fill="FFFFFF"/>
                  <w:vAlign w:val="center"/>
                  <w:hideMark/>
                </w:tcPr>
                <w:p w14:paraId="39C742AA" w14:textId="77777777" w:rsidR="0091074F" w:rsidRPr="0091074F" w:rsidRDefault="0091074F" w:rsidP="0091074F">
                  <w:pPr>
                    <w:jc w:val="center"/>
                    <w:rPr>
                      <w:rFonts w:ascii="Calibri" w:hAnsi="Calibri"/>
                      <w:color w:val="000000"/>
                      <w:sz w:val="20"/>
                      <w:szCs w:val="20"/>
                    </w:rPr>
                  </w:pPr>
                  <w:r w:rsidRPr="0091074F">
                    <w:rPr>
                      <w:rFonts w:ascii="Calibri" w:hAnsi="Calibri"/>
                      <w:color w:val="000000"/>
                      <w:sz w:val="20"/>
                      <w:szCs w:val="20"/>
                    </w:rPr>
                    <w:t>Tier 1</w:t>
                  </w:r>
                </w:p>
              </w:tc>
              <w:tc>
                <w:tcPr>
                  <w:tcW w:w="2620" w:type="dxa"/>
                  <w:tcBorders>
                    <w:top w:val="nil"/>
                    <w:left w:val="nil"/>
                    <w:bottom w:val="single" w:sz="4" w:space="0" w:color="auto"/>
                    <w:right w:val="single" w:sz="4" w:space="0" w:color="auto"/>
                  </w:tcBorders>
                  <w:shd w:val="clear" w:color="000000" w:fill="FFFFFF"/>
                  <w:vAlign w:val="bottom"/>
                  <w:hideMark/>
                </w:tcPr>
                <w:p w14:paraId="2C5549A1"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LED Fixture: High/Low Bay, 120 LPW to &lt;130 LPW, 125 to &lt;153 W</w:t>
                  </w:r>
                </w:p>
              </w:tc>
              <w:tc>
                <w:tcPr>
                  <w:tcW w:w="2680" w:type="dxa"/>
                  <w:tcBorders>
                    <w:top w:val="nil"/>
                    <w:left w:val="nil"/>
                    <w:bottom w:val="single" w:sz="4" w:space="0" w:color="auto"/>
                    <w:right w:val="single" w:sz="4" w:space="0" w:color="auto"/>
                  </w:tcBorders>
                  <w:shd w:val="clear" w:color="000000" w:fill="FFFFFF"/>
                  <w:vAlign w:val="center"/>
                  <w:hideMark/>
                </w:tcPr>
                <w:p w14:paraId="5EF65F1B"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C-In-LEDFixt(152.99w)-dwP23.7</w:t>
                  </w:r>
                </w:p>
              </w:tc>
            </w:tr>
            <w:tr w:rsidR="0091074F" w:rsidRPr="0091074F" w14:paraId="3F1F165D" w14:textId="77777777" w:rsidTr="0091074F">
              <w:trPr>
                <w:trHeight w:val="530"/>
              </w:trPr>
              <w:tc>
                <w:tcPr>
                  <w:tcW w:w="920" w:type="dxa"/>
                  <w:tcBorders>
                    <w:top w:val="nil"/>
                    <w:left w:val="single" w:sz="4" w:space="0" w:color="auto"/>
                    <w:bottom w:val="single" w:sz="4" w:space="0" w:color="auto"/>
                    <w:right w:val="single" w:sz="4" w:space="0" w:color="auto"/>
                  </w:tcBorders>
                  <w:shd w:val="clear" w:color="000000" w:fill="FFFFFF"/>
                  <w:vAlign w:val="bottom"/>
                  <w:hideMark/>
                </w:tcPr>
                <w:p w14:paraId="4AC5ACD7"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465252</w:t>
                  </w:r>
                </w:p>
              </w:tc>
              <w:tc>
                <w:tcPr>
                  <w:tcW w:w="1160" w:type="dxa"/>
                  <w:tcBorders>
                    <w:top w:val="nil"/>
                    <w:left w:val="nil"/>
                    <w:bottom w:val="single" w:sz="4" w:space="0" w:color="auto"/>
                    <w:right w:val="single" w:sz="4" w:space="0" w:color="auto"/>
                  </w:tcBorders>
                  <w:shd w:val="clear" w:color="000000" w:fill="FFFFFF"/>
                  <w:vAlign w:val="bottom"/>
                  <w:hideMark/>
                </w:tcPr>
                <w:p w14:paraId="1C84A10E"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465270</w:t>
                  </w:r>
                </w:p>
              </w:tc>
              <w:tc>
                <w:tcPr>
                  <w:tcW w:w="860" w:type="dxa"/>
                  <w:tcBorders>
                    <w:top w:val="nil"/>
                    <w:left w:val="nil"/>
                    <w:bottom w:val="single" w:sz="4" w:space="0" w:color="auto"/>
                    <w:right w:val="single" w:sz="4" w:space="0" w:color="auto"/>
                  </w:tcBorders>
                  <w:shd w:val="clear" w:color="000000" w:fill="FFFFFF"/>
                  <w:vAlign w:val="center"/>
                  <w:hideMark/>
                </w:tcPr>
                <w:p w14:paraId="27234D9C" w14:textId="77777777" w:rsidR="0091074F" w:rsidRPr="0091074F" w:rsidRDefault="0091074F" w:rsidP="0091074F">
                  <w:pPr>
                    <w:jc w:val="center"/>
                    <w:rPr>
                      <w:rFonts w:ascii="Calibri" w:hAnsi="Calibri"/>
                      <w:color w:val="000000"/>
                      <w:sz w:val="20"/>
                      <w:szCs w:val="20"/>
                    </w:rPr>
                  </w:pPr>
                  <w:r w:rsidRPr="0091074F">
                    <w:rPr>
                      <w:rFonts w:ascii="Calibri" w:hAnsi="Calibri"/>
                      <w:color w:val="000000"/>
                      <w:sz w:val="20"/>
                      <w:szCs w:val="20"/>
                    </w:rPr>
                    <w:t>Tier 2</w:t>
                  </w:r>
                </w:p>
              </w:tc>
              <w:tc>
                <w:tcPr>
                  <w:tcW w:w="2620" w:type="dxa"/>
                  <w:tcBorders>
                    <w:top w:val="nil"/>
                    <w:left w:val="nil"/>
                    <w:bottom w:val="single" w:sz="4" w:space="0" w:color="auto"/>
                    <w:right w:val="single" w:sz="4" w:space="0" w:color="auto"/>
                  </w:tcBorders>
                  <w:shd w:val="clear" w:color="000000" w:fill="FFFFFF"/>
                  <w:vAlign w:val="bottom"/>
                  <w:hideMark/>
                </w:tcPr>
                <w:p w14:paraId="10652401"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LED Fixture: High/Low Bay, &gt;=130 LPW, 113 to &lt;140 W</w:t>
                  </w:r>
                </w:p>
              </w:tc>
              <w:tc>
                <w:tcPr>
                  <w:tcW w:w="2680" w:type="dxa"/>
                  <w:tcBorders>
                    <w:top w:val="nil"/>
                    <w:left w:val="nil"/>
                    <w:bottom w:val="single" w:sz="4" w:space="0" w:color="auto"/>
                    <w:right w:val="single" w:sz="4" w:space="0" w:color="auto"/>
                  </w:tcBorders>
                  <w:shd w:val="clear" w:color="000000" w:fill="FFFFFF"/>
                  <w:vAlign w:val="center"/>
                  <w:hideMark/>
                </w:tcPr>
                <w:p w14:paraId="1322F509"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C-In-LEDFixt(139.99w)-dwP36.7</w:t>
                  </w:r>
                </w:p>
              </w:tc>
            </w:tr>
            <w:tr w:rsidR="0091074F" w:rsidRPr="0091074F" w14:paraId="3393E1A9" w14:textId="77777777" w:rsidTr="0091074F">
              <w:trPr>
                <w:trHeight w:val="790"/>
              </w:trPr>
              <w:tc>
                <w:tcPr>
                  <w:tcW w:w="920" w:type="dxa"/>
                  <w:tcBorders>
                    <w:top w:val="nil"/>
                    <w:left w:val="single" w:sz="4" w:space="0" w:color="auto"/>
                    <w:bottom w:val="single" w:sz="4" w:space="0" w:color="auto"/>
                    <w:right w:val="single" w:sz="4" w:space="0" w:color="auto"/>
                  </w:tcBorders>
                  <w:shd w:val="clear" w:color="000000" w:fill="FFFFFF"/>
                  <w:vAlign w:val="bottom"/>
                  <w:hideMark/>
                </w:tcPr>
                <w:p w14:paraId="26A9BB30"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465253</w:t>
                  </w:r>
                </w:p>
              </w:tc>
              <w:tc>
                <w:tcPr>
                  <w:tcW w:w="1160" w:type="dxa"/>
                  <w:tcBorders>
                    <w:top w:val="nil"/>
                    <w:left w:val="nil"/>
                    <w:bottom w:val="single" w:sz="4" w:space="0" w:color="auto"/>
                    <w:right w:val="single" w:sz="4" w:space="0" w:color="auto"/>
                  </w:tcBorders>
                  <w:shd w:val="clear" w:color="000000" w:fill="FFFFFF"/>
                  <w:vAlign w:val="bottom"/>
                  <w:hideMark/>
                </w:tcPr>
                <w:p w14:paraId="587EEC44"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465271</w:t>
                  </w:r>
                </w:p>
              </w:tc>
              <w:tc>
                <w:tcPr>
                  <w:tcW w:w="860" w:type="dxa"/>
                  <w:tcBorders>
                    <w:top w:val="nil"/>
                    <w:left w:val="nil"/>
                    <w:bottom w:val="single" w:sz="4" w:space="0" w:color="auto"/>
                    <w:right w:val="single" w:sz="4" w:space="0" w:color="auto"/>
                  </w:tcBorders>
                  <w:shd w:val="clear" w:color="000000" w:fill="FFFFFF"/>
                  <w:vAlign w:val="center"/>
                  <w:hideMark/>
                </w:tcPr>
                <w:p w14:paraId="183ABFA7" w14:textId="77777777" w:rsidR="0091074F" w:rsidRPr="0091074F" w:rsidRDefault="0091074F" w:rsidP="0091074F">
                  <w:pPr>
                    <w:jc w:val="center"/>
                    <w:rPr>
                      <w:rFonts w:ascii="Calibri" w:hAnsi="Calibri"/>
                      <w:color w:val="000000"/>
                      <w:sz w:val="20"/>
                      <w:szCs w:val="20"/>
                    </w:rPr>
                  </w:pPr>
                  <w:r w:rsidRPr="0091074F">
                    <w:rPr>
                      <w:rFonts w:ascii="Calibri" w:hAnsi="Calibri"/>
                      <w:color w:val="000000"/>
                      <w:sz w:val="20"/>
                      <w:szCs w:val="20"/>
                    </w:rPr>
                    <w:t>Tier 1</w:t>
                  </w:r>
                </w:p>
              </w:tc>
              <w:tc>
                <w:tcPr>
                  <w:tcW w:w="2620" w:type="dxa"/>
                  <w:tcBorders>
                    <w:top w:val="nil"/>
                    <w:left w:val="nil"/>
                    <w:bottom w:val="single" w:sz="4" w:space="0" w:color="auto"/>
                    <w:right w:val="single" w:sz="4" w:space="0" w:color="auto"/>
                  </w:tcBorders>
                  <w:shd w:val="clear" w:color="000000" w:fill="FFFFFF"/>
                  <w:vAlign w:val="bottom"/>
                  <w:hideMark/>
                </w:tcPr>
                <w:p w14:paraId="20D72011"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LED Fixture: High/Low Bay, 125 LPW to &lt;135 LPW, 153 to &lt;187 W</w:t>
                  </w:r>
                </w:p>
              </w:tc>
              <w:tc>
                <w:tcPr>
                  <w:tcW w:w="2680" w:type="dxa"/>
                  <w:tcBorders>
                    <w:top w:val="nil"/>
                    <w:left w:val="nil"/>
                    <w:bottom w:val="single" w:sz="4" w:space="0" w:color="auto"/>
                    <w:right w:val="single" w:sz="4" w:space="0" w:color="auto"/>
                  </w:tcBorders>
                  <w:shd w:val="clear" w:color="000000" w:fill="FFFFFF"/>
                  <w:vAlign w:val="center"/>
                  <w:hideMark/>
                </w:tcPr>
                <w:p w14:paraId="77F60111"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C-In-LEDFixt(186.99w)-dwP36.9</w:t>
                  </w:r>
                </w:p>
              </w:tc>
            </w:tr>
            <w:tr w:rsidR="0091074F" w:rsidRPr="0091074F" w14:paraId="68EF52CF" w14:textId="77777777" w:rsidTr="0091074F">
              <w:trPr>
                <w:trHeight w:val="530"/>
              </w:trPr>
              <w:tc>
                <w:tcPr>
                  <w:tcW w:w="920" w:type="dxa"/>
                  <w:tcBorders>
                    <w:top w:val="nil"/>
                    <w:left w:val="single" w:sz="4" w:space="0" w:color="auto"/>
                    <w:bottom w:val="single" w:sz="4" w:space="0" w:color="auto"/>
                    <w:right w:val="single" w:sz="4" w:space="0" w:color="auto"/>
                  </w:tcBorders>
                  <w:shd w:val="clear" w:color="000000" w:fill="FFFFFF"/>
                  <w:vAlign w:val="bottom"/>
                  <w:hideMark/>
                </w:tcPr>
                <w:p w14:paraId="4B44ED3B"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465254</w:t>
                  </w:r>
                </w:p>
              </w:tc>
              <w:tc>
                <w:tcPr>
                  <w:tcW w:w="1160" w:type="dxa"/>
                  <w:tcBorders>
                    <w:top w:val="nil"/>
                    <w:left w:val="nil"/>
                    <w:bottom w:val="single" w:sz="4" w:space="0" w:color="auto"/>
                    <w:right w:val="single" w:sz="4" w:space="0" w:color="auto"/>
                  </w:tcBorders>
                  <w:shd w:val="clear" w:color="000000" w:fill="FFFFFF"/>
                  <w:vAlign w:val="bottom"/>
                  <w:hideMark/>
                </w:tcPr>
                <w:p w14:paraId="2E4DCC4C"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465272</w:t>
                  </w:r>
                </w:p>
              </w:tc>
              <w:tc>
                <w:tcPr>
                  <w:tcW w:w="860" w:type="dxa"/>
                  <w:tcBorders>
                    <w:top w:val="nil"/>
                    <w:left w:val="nil"/>
                    <w:bottom w:val="single" w:sz="4" w:space="0" w:color="auto"/>
                    <w:right w:val="single" w:sz="4" w:space="0" w:color="auto"/>
                  </w:tcBorders>
                  <w:shd w:val="clear" w:color="000000" w:fill="FFFFFF"/>
                  <w:vAlign w:val="center"/>
                  <w:hideMark/>
                </w:tcPr>
                <w:p w14:paraId="79A34D9B" w14:textId="77777777" w:rsidR="0091074F" w:rsidRPr="0091074F" w:rsidRDefault="0091074F" w:rsidP="0091074F">
                  <w:pPr>
                    <w:jc w:val="center"/>
                    <w:rPr>
                      <w:rFonts w:ascii="Calibri" w:hAnsi="Calibri"/>
                      <w:color w:val="000000"/>
                      <w:sz w:val="20"/>
                      <w:szCs w:val="20"/>
                    </w:rPr>
                  </w:pPr>
                  <w:r w:rsidRPr="0091074F">
                    <w:rPr>
                      <w:rFonts w:ascii="Calibri" w:hAnsi="Calibri"/>
                      <w:color w:val="000000"/>
                      <w:sz w:val="20"/>
                      <w:szCs w:val="20"/>
                    </w:rPr>
                    <w:t>Tier 2</w:t>
                  </w:r>
                </w:p>
              </w:tc>
              <w:tc>
                <w:tcPr>
                  <w:tcW w:w="2620" w:type="dxa"/>
                  <w:tcBorders>
                    <w:top w:val="nil"/>
                    <w:left w:val="nil"/>
                    <w:bottom w:val="single" w:sz="4" w:space="0" w:color="auto"/>
                    <w:right w:val="single" w:sz="4" w:space="0" w:color="auto"/>
                  </w:tcBorders>
                  <w:shd w:val="clear" w:color="000000" w:fill="FFFFFF"/>
                  <w:vAlign w:val="bottom"/>
                  <w:hideMark/>
                </w:tcPr>
                <w:p w14:paraId="08E536E3"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LED Fixture: High/Low Bay, &gt;=135 LPW, 140 to &lt;174 W</w:t>
                  </w:r>
                </w:p>
              </w:tc>
              <w:tc>
                <w:tcPr>
                  <w:tcW w:w="2680" w:type="dxa"/>
                  <w:tcBorders>
                    <w:top w:val="nil"/>
                    <w:left w:val="nil"/>
                    <w:bottom w:val="single" w:sz="4" w:space="0" w:color="auto"/>
                    <w:right w:val="single" w:sz="4" w:space="0" w:color="auto"/>
                  </w:tcBorders>
                  <w:shd w:val="clear" w:color="000000" w:fill="FFFFFF"/>
                  <w:vAlign w:val="center"/>
                  <w:hideMark/>
                </w:tcPr>
                <w:p w14:paraId="5C775471"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C-In-LEDFixt(173.99w)-dwP49.9</w:t>
                  </w:r>
                </w:p>
              </w:tc>
            </w:tr>
            <w:tr w:rsidR="0091074F" w:rsidRPr="0091074F" w14:paraId="778BD674" w14:textId="77777777" w:rsidTr="0091074F">
              <w:trPr>
                <w:trHeight w:val="790"/>
              </w:trPr>
              <w:tc>
                <w:tcPr>
                  <w:tcW w:w="920" w:type="dxa"/>
                  <w:tcBorders>
                    <w:top w:val="nil"/>
                    <w:left w:val="single" w:sz="4" w:space="0" w:color="auto"/>
                    <w:bottom w:val="single" w:sz="4" w:space="0" w:color="auto"/>
                    <w:right w:val="single" w:sz="4" w:space="0" w:color="auto"/>
                  </w:tcBorders>
                  <w:shd w:val="clear" w:color="000000" w:fill="FFFFFF"/>
                  <w:vAlign w:val="bottom"/>
                  <w:hideMark/>
                </w:tcPr>
                <w:p w14:paraId="4048AE49"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465255</w:t>
                  </w:r>
                </w:p>
              </w:tc>
              <w:tc>
                <w:tcPr>
                  <w:tcW w:w="1160" w:type="dxa"/>
                  <w:tcBorders>
                    <w:top w:val="nil"/>
                    <w:left w:val="nil"/>
                    <w:bottom w:val="single" w:sz="4" w:space="0" w:color="auto"/>
                    <w:right w:val="single" w:sz="4" w:space="0" w:color="auto"/>
                  </w:tcBorders>
                  <w:shd w:val="clear" w:color="000000" w:fill="FFFFFF"/>
                  <w:vAlign w:val="bottom"/>
                  <w:hideMark/>
                </w:tcPr>
                <w:p w14:paraId="3F52ED41"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465273</w:t>
                  </w:r>
                </w:p>
              </w:tc>
              <w:tc>
                <w:tcPr>
                  <w:tcW w:w="860" w:type="dxa"/>
                  <w:tcBorders>
                    <w:top w:val="nil"/>
                    <w:left w:val="nil"/>
                    <w:bottom w:val="single" w:sz="4" w:space="0" w:color="auto"/>
                    <w:right w:val="single" w:sz="4" w:space="0" w:color="auto"/>
                  </w:tcBorders>
                  <w:shd w:val="clear" w:color="000000" w:fill="FFFFFF"/>
                  <w:vAlign w:val="center"/>
                  <w:hideMark/>
                </w:tcPr>
                <w:p w14:paraId="6B649C12" w14:textId="77777777" w:rsidR="0091074F" w:rsidRPr="0091074F" w:rsidRDefault="0091074F" w:rsidP="0091074F">
                  <w:pPr>
                    <w:jc w:val="center"/>
                    <w:rPr>
                      <w:rFonts w:ascii="Calibri" w:hAnsi="Calibri"/>
                      <w:color w:val="000000"/>
                      <w:sz w:val="20"/>
                      <w:szCs w:val="20"/>
                    </w:rPr>
                  </w:pPr>
                  <w:r w:rsidRPr="0091074F">
                    <w:rPr>
                      <w:rFonts w:ascii="Calibri" w:hAnsi="Calibri"/>
                      <w:color w:val="000000"/>
                      <w:sz w:val="20"/>
                      <w:szCs w:val="20"/>
                    </w:rPr>
                    <w:t>Tier 1</w:t>
                  </w:r>
                </w:p>
              </w:tc>
              <w:tc>
                <w:tcPr>
                  <w:tcW w:w="2620" w:type="dxa"/>
                  <w:tcBorders>
                    <w:top w:val="nil"/>
                    <w:left w:val="nil"/>
                    <w:bottom w:val="single" w:sz="4" w:space="0" w:color="auto"/>
                    <w:right w:val="single" w:sz="4" w:space="0" w:color="auto"/>
                  </w:tcBorders>
                  <w:shd w:val="clear" w:color="000000" w:fill="FFFFFF"/>
                  <w:vAlign w:val="bottom"/>
                  <w:hideMark/>
                </w:tcPr>
                <w:p w14:paraId="0DC446FE"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LED Fixture: High/Low Bay, 125 LPW to &lt;135 LPW, 187 to &lt;212 W</w:t>
                  </w:r>
                </w:p>
              </w:tc>
              <w:tc>
                <w:tcPr>
                  <w:tcW w:w="2680" w:type="dxa"/>
                  <w:tcBorders>
                    <w:top w:val="nil"/>
                    <w:left w:val="nil"/>
                    <w:bottom w:val="single" w:sz="4" w:space="0" w:color="auto"/>
                    <w:right w:val="single" w:sz="4" w:space="0" w:color="auto"/>
                  </w:tcBorders>
                  <w:shd w:val="clear" w:color="000000" w:fill="FFFFFF"/>
                  <w:vAlign w:val="center"/>
                  <w:hideMark/>
                </w:tcPr>
                <w:p w14:paraId="3DE439D8"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C-In-LEDFixt(211.99w)-dwP8.3</w:t>
                  </w:r>
                </w:p>
              </w:tc>
            </w:tr>
            <w:tr w:rsidR="0091074F" w:rsidRPr="0091074F" w14:paraId="2A404D39" w14:textId="77777777" w:rsidTr="0091074F">
              <w:trPr>
                <w:trHeight w:val="530"/>
              </w:trPr>
              <w:tc>
                <w:tcPr>
                  <w:tcW w:w="920" w:type="dxa"/>
                  <w:tcBorders>
                    <w:top w:val="nil"/>
                    <w:left w:val="single" w:sz="4" w:space="0" w:color="auto"/>
                    <w:bottom w:val="single" w:sz="4" w:space="0" w:color="auto"/>
                    <w:right w:val="single" w:sz="4" w:space="0" w:color="auto"/>
                  </w:tcBorders>
                  <w:shd w:val="clear" w:color="000000" w:fill="FFFFFF"/>
                  <w:vAlign w:val="bottom"/>
                  <w:hideMark/>
                </w:tcPr>
                <w:p w14:paraId="4AAF08D1"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465256</w:t>
                  </w:r>
                </w:p>
              </w:tc>
              <w:tc>
                <w:tcPr>
                  <w:tcW w:w="1160" w:type="dxa"/>
                  <w:tcBorders>
                    <w:top w:val="nil"/>
                    <w:left w:val="nil"/>
                    <w:bottom w:val="single" w:sz="4" w:space="0" w:color="auto"/>
                    <w:right w:val="single" w:sz="4" w:space="0" w:color="auto"/>
                  </w:tcBorders>
                  <w:shd w:val="clear" w:color="000000" w:fill="FFFFFF"/>
                  <w:vAlign w:val="bottom"/>
                  <w:hideMark/>
                </w:tcPr>
                <w:p w14:paraId="37F20A53"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465274</w:t>
                  </w:r>
                </w:p>
              </w:tc>
              <w:tc>
                <w:tcPr>
                  <w:tcW w:w="860" w:type="dxa"/>
                  <w:tcBorders>
                    <w:top w:val="nil"/>
                    <w:left w:val="nil"/>
                    <w:bottom w:val="single" w:sz="4" w:space="0" w:color="auto"/>
                    <w:right w:val="single" w:sz="4" w:space="0" w:color="auto"/>
                  </w:tcBorders>
                  <w:shd w:val="clear" w:color="000000" w:fill="FFFFFF"/>
                  <w:vAlign w:val="center"/>
                  <w:hideMark/>
                </w:tcPr>
                <w:p w14:paraId="5B82E82B" w14:textId="77777777" w:rsidR="0091074F" w:rsidRPr="0091074F" w:rsidRDefault="0091074F" w:rsidP="0091074F">
                  <w:pPr>
                    <w:jc w:val="center"/>
                    <w:rPr>
                      <w:rFonts w:ascii="Calibri" w:hAnsi="Calibri"/>
                      <w:color w:val="000000"/>
                      <w:sz w:val="20"/>
                      <w:szCs w:val="20"/>
                    </w:rPr>
                  </w:pPr>
                  <w:r w:rsidRPr="0091074F">
                    <w:rPr>
                      <w:rFonts w:ascii="Calibri" w:hAnsi="Calibri"/>
                      <w:color w:val="000000"/>
                      <w:sz w:val="20"/>
                      <w:szCs w:val="20"/>
                    </w:rPr>
                    <w:t>Tier 2</w:t>
                  </w:r>
                </w:p>
              </w:tc>
              <w:tc>
                <w:tcPr>
                  <w:tcW w:w="2620" w:type="dxa"/>
                  <w:tcBorders>
                    <w:top w:val="nil"/>
                    <w:left w:val="nil"/>
                    <w:bottom w:val="single" w:sz="4" w:space="0" w:color="auto"/>
                    <w:right w:val="single" w:sz="4" w:space="0" w:color="auto"/>
                  </w:tcBorders>
                  <w:shd w:val="clear" w:color="000000" w:fill="FFFFFF"/>
                  <w:vAlign w:val="bottom"/>
                  <w:hideMark/>
                </w:tcPr>
                <w:p w14:paraId="4811A78A"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LED Fixture: High/Low Bay, &gt;=135 LPW, 174 to &lt;194 W</w:t>
                  </w:r>
                </w:p>
              </w:tc>
              <w:tc>
                <w:tcPr>
                  <w:tcW w:w="2680" w:type="dxa"/>
                  <w:tcBorders>
                    <w:top w:val="nil"/>
                    <w:left w:val="nil"/>
                    <w:bottom w:val="single" w:sz="4" w:space="0" w:color="auto"/>
                    <w:right w:val="single" w:sz="4" w:space="0" w:color="auto"/>
                  </w:tcBorders>
                  <w:shd w:val="clear" w:color="000000" w:fill="FFFFFF"/>
                  <w:vAlign w:val="center"/>
                  <w:hideMark/>
                </w:tcPr>
                <w:p w14:paraId="685544E1"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C-In-LEDFixt(193.99w)-dwP26.3</w:t>
                  </w:r>
                </w:p>
              </w:tc>
            </w:tr>
            <w:tr w:rsidR="0091074F" w:rsidRPr="0091074F" w14:paraId="281CB379" w14:textId="77777777" w:rsidTr="0091074F">
              <w:trPr>
                <w:trHeight w:val="790"/>
              </w:trPr>
              <w:tc>
                <w:tcPr>
                  <w:tcW w:w="920" w:type="dxa"/>
                  <w:tcBorders>
                    <w:top w:val="nil"/>
                    <w:left w:val="single" w:sz="4" w:space="0" w:color="auto"/>
                    <w:bottom w:val="single" w:sz="4" w:space="0" w:color="auto"/>
                    <w:right w:val="single" w:sz="4" w:space="0" w:color="auto"/>
                  </w:tcBorders>
                  <w:shd w:val="clear" w:color="000000" w:fill="FFFFFF"/>
                  <w:vAlign w:val="bottom"/>
                  <w:hideMark/>
                </w:tcPr>
                <w:p w14:paraId="7FDF433E"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465257</w:t>
                  </w:r>
                </w:p>
              </w:tc>
              <w:tc>
                <w:tcPr>
                  <w:tcW w:w="1160" w:type="dxa"/>
                  <w:tcBorders>
                    <w:top w:val="nil"/>
                    <w:left w:val="nil"/>
                    <w:bottom w:val="single" w:sz="4" w:space="0" w:color="auto"/>
                    <w:right w:val="single" w:sz="4" w:space="0" w:color="auto"/>
                  </w:tcBorders>
                  <w:shd w:val="clear" w:color="000000" w:fill="FFFFFF"/>
                  <w:vAlign w:val="bottom"/>
                  <w:hideMark/>
                </w:tcPr>
                <w:p w14:paraId="3323A2ED"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465275</w:t>
                  </w:r>
                </w:p>
              </w:tc>
              <w:tc>
                <w:tcPr>
                  <w:tcW w:w="860" w:type="dxa"/>
                  <w:tcBorders>
                    <w:top w:val="nil"/>
                    <w:left w:val="nil"/>
                    <w:bottom w:val="single" w:sz="4" w:space="0" w:color="auto"/>
                    <w:right w:val="single" w:sz="4" w:space="0" w:color="auto"/>
                  </w:tcBorders>
                  <w:shd w:val="clear" w:color="000000" w:fill="FFFFFF"/>
                  <w:vAlign w:val="center"/>
                  <w:hideMark/>
                </w:tcPr>
                <w:p w14:paraId="792E2C3F" w14:textId="77777777" w:rsidR="0091074F" w:rsidRPr="0091074F" w:rsidRDefault="0091074F" w:rsidP="0091074F">
                  <w:pPr>
                    <w:jc w:val="center"/>
                    <w:rPr>
                      <w:rFonts w:ascii="Calibri" w:hAnsi="Calibri"/>
                      <w:color w:val="000000"/>
                      <w:sz w:val="20"/>
                      <w:szCs w:val="20"/>
                    </w:rPr>
                  </w:pPr>
                  <w:r w:rsidRPr="0091074F">
                    <w:rPr>
                      <w:rFonts w:ascii="Calibri" w:hAnsi="Calibri"/>
                      <w:color w:val="000000"/>
                      <w:sz w:val="20"/>
                      <w:szCs w:val="20"/>
                    </w:rPr>
                    <w:t>Tier 1</w:t>
                  </w:r>
                </w:p>
              </w:tc>
              <w:tc>
                <w:tcPr>
                  <w:tcW w:w="2620" w:type="dxa"/>
                  <w:tcBorders>
                    <w:top w:val="nil"/>
                    <w:left w:val="nil"/>
                    <w:bottom w:val="single" w:sz="4" w:space="0" w:color="auto"/>
                    <w:right w:val="single" w:sz="4" w:space="0" w:color="auto"/>
                  </w:tcBorders>
                  <w:shd w:val="clear" w:color="000000" w:fill="FFFFFF"/>
                  <w:vAlign w:val="bottom"/>
                  <w:hideMark/>
                </w:tcPr>
                <w:p w14:paraId="7B645808"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LED Fixture: High/Low Bay, 125 LPW to &lt;135 LPW, 212 to &lt;246 W</w:t>
                  </w:r>
                </w:p>
              </w:tc>
              <w:tc>
                <w:tcPr>
                  <w:tcW w:w="2680" w:type="dxa"/>
                  <w:tcBorders>
                    <w:top w:val="nil"/>
                    <w:left w:val="nil"/>
                    <w:bottom w:val="single" w:sz="4" w:space="0" w:color="auto"/>
                    <w:right w:val="single" w:sz="4" w:space="0" w:color="auto"/>
                  </w:tcBorders>
                  <w:shd w:val="clear" w:color="000000" w:fill="FFFFFF"/>
                  <w:vAlign w:val="center"/>
                  <w:hideMark/>
                </w:tcPr>
                <w:p w14:paraId="53922184"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C-In-LEDFixt(245.99w)-dwP16.1</w:t>
                  </w:r>
                </w:p>
              </w:tc>
            </w:tr>
            <w:tr w:rsidR="0091074F" w:rsidRPr="0091074F" w14:paraId="50C5F4E7" w14:textId="77777777" w:rsidTr="0091074F">
              <w:trPr>
                <w:trHeight w:val="530"/>
              </w:trPr>
              <w:tc>
                <w:tcPr>
                  <w:tcW w:w="920" w:type="dxa"/>
                  <w:tcBorders>
                    <w:top w:val="nil"/>
                    <w:left w:val="single" w:sz="4" w:space="0" w:color="auto"/>
                    <w:bottom w:val="single" w:sz="4" w:space="0" w:color="auto"/>
                    <w:right w:val="single" w:sz="4" w:space="0" w:color="auto"/>
                  </w:tcBorders>
                  <w:shd w:val="clear" w:color="000000" w:fill="FFFFFF"/>
                  <w:vAlign w:val="bottom"/>
                  <w:hideMark/>
                </w:tcPr>
                <w:p w14:paraId="701DFFB9"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465258</w:t>
                  </w:r>
                </w:p>
              </w:tc>
              <w:tc>
                <w:tcPr>
                  <w:tcW w:w="1160" w:type="dxa"/>
                  <w:tcBorders>
                    <w:top w:val="nil"/>
                    <w:left w:val="nil"/>
                    <w:bottom w:val="single" w:sz="4" w:space="0" w:color="auto"/>
                    <w:right w:val="single" w:sz="4" w:space="0" w:color="auto"/>
                  </w:tcBorders>
                  <w:shd w:val="clear" w:color="000000" w:fill="FFFFFF"/>
                  <w:vAlign w:val="bottom"/>
                  <w:hideMark/>
                </w:tcPr>
                <w:p w14:paraId="49E84315"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465276</w:t>
                  </w:r>
                </w:p>
              </w:tc>
              <w:tc>
                <w:tcPr>
                  <w:tcW w:w="86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E62659A" w14:textId="77777777" w:rsidR="0091074F" w:rsidRPr="0091074F" w:rsidRDefault="0091074F" w:rsidP="0091074F">
                  <w:pPr>
                    <w:jc w:val="center"/>
                    <w:rPr>
                      <w:rFonts w:ascii="Calibri" w:hAnsi="Calibri"/>
                      <w:color w:val="000000"/>
                      <w:sz w:val="20"/>
                      <w:szCs w:val="20"/>
                    </w:rPr>
                  </w:pPr>
                  <w:r w:rsidRPr="0091074F">
                    <w:rPr>
                      <w:rFonts w:ascii="Calibri" w:hAnsi="Calibri"/>
                      <w:color w:val="000000"/>
                      <w:sz w:val="20"/>
                      <w:szCs w:val="20"/>
                    </w:rPr>
                    <w:t>Tier 2</w:t>
                  </w:r>
                </w:p>
              </w:tc>
              <w:tc>
                <w:tcPr>
                  <w:tcW w:w="2620" w:type="dxa"/>
                  <w:tcBorders>
                    <w:top w:val="nil"/>
                    <w:left w:val="nil"/>
                    <w:bottom w:val="single" w:sz="4" w:space="0" w:color="auto"/>
                    <w:right w:val="single" w:sz="4" w:space="0" w:color="auto"/>
                  </w:tcBorders>
                  <w:shd w:val="clear" w:color="000000" w:fill="FFFFFF"/>
                  <w:vAlign w:val="bottom"/>
                  <w:hideMark/>
                </w:tcPr>
                <w:p w14:paraId="4FE0B124"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LED Fixture: High/Low Bay, &gt;=135 LPW, 194 to &lt;227 W</w:t>
                  </w:r>
                </w:p>
              </w:tc>
              <w:tc>
                <w:tcPr>
                  <w:tcW w:w="2680" w:type="dxa"/>
                  <w:tcBorders>
                    <w:top w:val="nil"/>
                    <w:left w:val="nil"/>
                    <w:bottom w:val="single" w:sz="4" w:space="0" w:color="auto"/>
                    <w:right w:val="single" w:sz="4" w:space="0" w:color="auto"/>
                  </w:tcBorders>
                  <w:shd w:val="clear" w:color="000000" w:fill="FFFFFF"/>
                  <w:vAlign w:val="center"/>
                  <w:hideMark/>
                </w:tcPr>
                <w:p w14:paraId="79F89701"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C-In-LEDFixt(226.99w)-dwP35.1</w:t>
                  </w:r>
                </w:p>
              </w:tc>
            </w:tr>
            <w:tr w:rsidR="0091074F" w:rsidRPr="0091074F" w14:paraId="1CDDAB31" w14:textId="77777777" w:rsidTr="0091074F">
              <w:trPr>
                <w:trHeight w:val="530"/>
              </w:trPr>
              <w:tc>
                <w:tcPr>
                  <w:tcW w:w="920" w:type="dxa"/>
                  <w:tcBorders>
                    <w:top w:val="nil"/>
                    <w:left w:val="single" w:sz="4" w:space="0" w:color="auto"/>
                    <w:bottom w:val="single" w:sz="4" w:space="0" w:color="auto"/>
                    <w:right w:val="single" w:sz="4" w:space="0" w:color="auto"/>
                  </w:tcBorders>
                  <w:shd w:val="clear" w:color="000000" w:fill="FFFFFF"/>
                  <w:vAlign w:val="bottom"/>
                  <w:hideMark/>
                </w:tcPr>
                <w:p w14:paraId="55511F5A"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465259</w:t>
                  </w:r>
                </w:p>
              </w:tc>
              <w:tc>
                <w:tcPr>
                  <w:tcW w:w="1160" w:type="dxa"/>
                  <w:tcBorders>
                    <w:top w:val="nil"/>
                    <w:left w:val="nil"/>
                    <w:bottom w:val="single" w:sz="4" w:space="0" w:color="auto"/>
                    <w:right w:val="single" w:sz="4" w:space="0" w:color="auto"/>
                  </w:tcBorders>
                  <w:shd w:val="clear" w:color="000000" w:fill="FFFFFF"/>
                  <w:vAlign w:val="bottom"/>
                  <w:hideMark/>
                </w:tcPr>
                <w:p w14:paraId="242CACF1"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465277</w:t>
                  </w:r>
                </w:p>
              </w:tc>
              <w:tc>
                <w:tcPr>
                  <w:tcW w:w="860" w:type="dxa"/>
                  <w:vMerge/>
                  <w:tcBorders>
                    <w:top w:val="nil"/>
                    <w:left w:val="single" w:sz="4" w:space="0" w:color="auto"/>
                    <w:bottom w:val="single" w:sz="4" w:space="0" w:color="000000"/>
                    <w:right w:val="single" w:sz="4" w:space="0" w:color="auto"/>
                  </w:tcBorders>
                  <w:vAlign w:val="center"/>
                  <w:hideMark/>
                </w:tcPr>
                <w:p w14:paraId="60F36CF2" w14:textId="77777777" w:rsidR="0091074F" w:rsidRPr="0091074F" w:rsidRDefault="0091074F" w:rsidP="0091074F">
                  <w:pPr>
                    <w:rPr>
                      <w:rFonts w:ascii="Calibri" w:hAnsi="Calibri"/>
                      <w:color w:val="000000"/>
                      <w:sz w:val="20"/>
                      <w:szCs w:val="20"/>
                    </w:rPr>
                  </w:pPr>
                </w:p>
              </w:tc>
              <w:tc>
                <w:tcPr>
                  <w:tcW w:w="2620" w:type="dxa"/>
                  <w:tcBorders>
                    <w:top w:val="nil"/>
                    <w:left w:val="nil"/>
                    <w:bottom w:val="single" w:sz="4" w:space="0" w:color="auto"/>
                    <w:right w:val="single" w:sz="4" w:space="0" w:color="auto"/>
                  </w:tcBorders>
                  <w:shd w:val="clear" w:color="000000" w:fill="FFFFFF"/>
                  <w:vAlign w:val="bottom"/>
                  <w:hideMark/>
                </w:tcPr>
                <w:p w14:paraId="75A7601E"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LED Fixture: High/Low Bay, &gt;=135 LPW, 227 to &lt;262 W</w:t>
                  </w:r>
                </w:p>
              </w:tc>
              <w:tc>
                <w:tcPr>
                  <w:tcW w:w="2680" w:type="dxa"/>
                  <w:tcBorders>
                    <w:top w:val="nil"/>
                    <w:left w:val="nil"/>
                    <w:bottom w:val="single" w:sz="4" w:space="0" w:color="auto"/>
                    <w:right w:val="single" w:sz="4" w:space="0" w:color="auto"/>
                  </w:tcBorders>
                  <w:shd w:val="clear" w:color="000000" w:fill="FFFFFF"/>
                  <w:vAlign w:val="center"/>
                  <w:hideMark/>
                </w:tcPr>
                <w:p w14:paraId="311F67CB"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C-In-LEDFixt(261.99w)-dwP41.4</w:t>
                  </w:r>
                </w:p>
              </w:tc>
            </w:tr>
            <w:tr w:rsidR="0091074F" w:rsidRPr="0091074F" w14:paraId="48576C0D" w14:textId="77777777" w:rsidTr="0091074F">
              <w:trPr>
                <w:trHeight w:val="790"/>
              </w:trPr>
              <w:tc>
                <w:tcPr>
                  <w:tcW w:w="920" w:type="dxa"/>
                  <w:tcBorders>
                    <w:top w:val="nil"/>
                    <w:left w:val="single" w:sz="4" w:space="0" w:color="auto"/>
                    <w:bottom w:val="single" w:sz="4" w:space="0" w:color="auto"/>
                    <w:right w:val="single" w:sz="4" w:space="0" w:color="auto"/>
                  </w:tcBorders>
                  <w:shd w:val="clear" w:color="000000" w:fill="FFFFFF"/>
                  <w:vAlign w:val="bottom"/>
                  <w:hideMark/>
                </w:tcPr>
                <w:p w14:paraId="7EFD4579"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lastRenderedPageBreak/>
                    <w:t>465260</w:t>
                  </w:r>
                </w:p>
              </w:tc>
              <w:tc>
                <w:tcPr>
                  <w:tcW w:w="1160" w:type="dxa"/>
                  <w:tcBorders>
                    <w:top w:val="nil"/>
                    <w:left w:val="nil"/>
                    <w:bottom w:val="single" w:sz="4" w:space="0" w:color="auto"/>
                    <w:right w:val="single" w:sz="4" w:space="0" w:color="auto"/>
                  </w:tcBorders>
                  <w:shd w:val="clear" w:color="000000" w:fill="FFFFFF"/>
                  <w:vAlign w:val="bottom"/>
                  <w:hideMark/>
                </w:tcPr>
                <w:p w14:paraId="555F2885"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465278</w:t>
                  </w:r>
                </w:p>
              </w:tc>
              <w:tc>
                <w:tcPr>
                  <w:tcW w:w="860" w:type="dxa"/>
                  <w:tcBorders>
                    <w:top w:val="nil"/>
                    <w:left w:val="nil"/>
                    <w:bottom w:val="single" w:sz="4" w:space="0" w:color="auto"/>
                    <w:right w:val="single" w:sz="4" w:space="0" w:color="auto"/>
                  </w:tcBorders>
                  <w:shd w:val="clear" w:color="000000" w:fill="FFFFFF"/>
                  <w:vAlign w:val="center"/>
                  <w:hideMark/>
                </w:tcPr>
                <w:p w14:paraId="3EA25002" w14:textId="77777777" w:rsidR="0091074F" w:rsidRPr="0091074F" w:rsidRDefault="0091074F" w:rsidP="0091074F">
                  <w:pPr>
                    <w:jc w:val="center"/>
                    <w:rPr>
                      <w:rFonts w:ascii="Calibri" w:hAnsi="Calibri"/>
                      <w:color w:val="000000"/>
                      <w:sz w:val="20"/>
                      <w:szCs w:val="20"/>
                    </w:rPr>
                  </w:pPr>
                  <w:r w:rsidRPr="0091074F">
                    <w:rPr>
                      <w:rFonts w:ascii="Calibri" w:hAnsi="Calibri"/>
                      <w:color w:val="000000"/>
                      <w:sz w:val="20"/>
                      <w:szCs w:val="20"/>
                    </w:rPr>
                    <w:t>Tier 1</w:t>
                  </w:r>
                </w:p>
              </w:tc>
              <w:tc>
                <w:tcPr>
                  <w:tcW w:w="2620" w:type="dxa"/>
                  <w:tcBorders>
                    <w:top w:val="nil"/>
                    <w:left w:val="nil"/>
                    <w:bottom w:val="single" w:sz="4" w:space="0" w:color="auto"/>
                    <w:right w:val="single" w:sz="4" w:space="0" w:color="auto"/>
                  </w:tcBorders>
                  <w:shd w:val="clear" w:color="000000" w:fill="FFFFFF"/>
                  <w:vAlign w:val="bottom"/>
                  <w:hideMark/>
                </w:tcPr>
                <w:p w14:paraId="73E42075"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LED Fixture: High/Low Bay, 125 LPW to &lt;135 LPW, 246 to &lt;283 W</w:t>
                  </w:r>
                </w:p>
              </w:tc>
              <w:tc>
                <w:tcPr>
                  <w:tcW w:w="2680" w:type="dxa"/>
                  <w:tcBorders>
                    <w:top w:val="nil"/>
                    <w:left w:val="nil"/>
                    <w:bottom w:val="single" w:sz="4" w:space="0" w:color="auto"/>
                    <w:right w:val="single" w:sz="4" w:space="0" w:color="auto"/>
                  </w:tcBorders>
                  <w:shd w:val="clear" w:color="000000" w:fill="FFFFFF"/>
                  <w:vAlign w:val="center"/>
                  <w:hideMark/>
                </w:tcPr>
                <w:p w14:paraId="11BE3080" w14:textId="77777777" w:rsidR="0091074F" w:rsidRPr="0091074F" w:rsidRDefault="0091074F" w:rsidP="0091074F">
                  <w:pPr>
                    <w:rPr>
                      <w:rFonts w:ascii="Calibri" w:hAnsi="Calibri"/>
                      <w:color w:val="000000"/>
                      <w:sz w:val="20"/>
                      <w:szCs w:val="20"/>
                    </w:rPr>
                  </w:pPr>
                  <w:r w:rsidRPr="0091074F">
                    <w:rPr>
                      <w:rFonts w:ascii="Calibri" w:hAnsi="Calibri"/>
                      <w:color w:val="000000"/>
                      <w:sz w:val="20"/>
                      <w:szCs w:val="20"/>
                    </w:rPr>
                    <w:t>C-In-LEDFixt(282.99w)-dwP20.4</w:t>
                  </w:r>
                </w:p>
              </w:tc>
            </w:tr>
          </w:tbl>
          <w:p w14:paraId="07946780" w14:textId="77777777" w:rsidR="00B62AFB" w:rsidRDefault="00B62AFB" w:rsidP="006412EA">
            <w:pPr>
              <w:rPr>
                <w:rFonts w:cstheme="minorHAnsi"/>
                <w:sz w:val="20"/>
                <w:szCs w:val="20"/>
              </w:rPr>
            </w:pPr>
          </w:p>
          <w:p w14:paraId="5AF087DD" w14:textId="77777777" w:rsidR="00B62AFB" w:rsidRDefault="00B62AFB" w:rsidP="006412EA">
            <w:pPr>
              <w:rPr>
                <w:rFonts w:cstheme="minorHAnsi"/>
                <w:sz w:val="20"/>
                <w:szCs w:val="20"/>
              </w:rPr>
            </w:pPr>
          </w:p>
          <w:p w14:paraId="4659C812" w14:textId="0A6189CF" w:rsidR="00B62AFB" w:rsidRPr="00036409" w:rsidRDefault="00B62AFB" w:rsidP="006412EA">
            <w:pPr>
              <w:rPr>
                <w:rFonts w:cstheme="minorHAnsi"/>
                <w:sz w:val="20"/>
                <w:szCs w:val="20"/>
              </w:rPr>
            </w:pPr>
          </w:p>
        </w:tc>
      </w:tr>
      <w:tr w:rsidR="006412EA" w14:paraId="4659C819" w14:textId="77777777" w:rsidTr="00EB4684">
        <w:trPr>
          <w:cantSplit/>
        </w:trPr>
        <w:tc>
          <w:tcPr>
            <w:tcW w:w="1710" w:type="dxa"/>
            <w:vAlign w:val="center"/>
          </w:tcPr>
          <w:p w14:paraId="21F30CBD" w14:textId="77777777" w:rsidR="006412EA" w:rsidRDefault="006412EA" w:rsidP="006412EA">
            <w:pPr>
              <w:jc w:val="right"/>
              <w:rPr>
                <w:sz w:val="20"/>
                <w:szCs w:val="20"/>
              </w:rPr>
            </w:pPr>
            <w:r w:rsidRPr="00822B6F">
              <w:rPr>
                <w:sz w:val="20"/>
                <w:szCs w:val="20"/>
              </w:rPr>
              <w:lastRenderedPageBreak/>
              <w:t>Net-to-Gross Ratio</w:t>
            </w:r>
          </w:p>
          <w:p w14:paraId="4659C817" w14:textId="2580CC01" w:rsidR="006412EA" w:rsidRPr="00822B6F" w:rsidRDefault="006412EA" w:rsidP="006412EA">
            <w:pPr>
              <w:jc w:val="right"/>
              <w:rPr>
                <w:sz w:val="20"/>
                <w:szCs w:val="20"/>
              </w:rPr>
            </w:pPr>
            <w:r>
              <w:rPr>
                <w:sz w:val="20"/>
                <w:szCs w:val="20"/>
              </w:rPr>
              <w:t>GSIA Value</w:t>
            </w:r>
          </w:p>
        </w:tc>
        <w:tc>
          <w:tcPr>
            <w:tcW w:w="9090" w:type="dxa"/>
          </w:tcPr>
          <w:p w14:paraId="7614CCB2" w14:textId="0538BEAF" w:rsidR="006412EA" w:rsidRDefault="006412EA" w:rsidP="006412EA">
            <w:pPr>
              <w:tabs>
                <w:tab w:val="right" w:pos="6732"/>
              </w:tabs>
              <w:rPr>
                <w:rFonts w:cstheme="minorHAnsi"/>
                <w:sz w:val="20"/>
                <w:szCs w:val="20"/>
              </w:rPr>
            </w:pPr>
            <w:r w:rsidRPr="00036409">
              <w:rPr>
                <w:rFonts w:cstheme="minorHAnsi"/>
                <w:sz w:val="20"/>
                <w:szCs w:val="20"/>
              </w:rPr>
              <w:t xml:space="preserve">NTG ID: </w:t>
            </w:r>
            <w:r w:rsidR="00EB4684" w:rsidRPr="00EB4684">
              <w:rPr>
                <w:rFonts w:cstheme="minorHAnsi"/>
                <w:sz w:val="20"/>
                <w:szCs w:val="20"/>
              </w:rPr>
              <w:t>Com-InHB-Ltg-LEDFixt</w:t>
            </w:r>
            <w:r w:rsidR="00EB4684">
              <w:rPr>
                <w:rFonts w:cstheme="minorHAnsi"/>
                <w:sz w:val="20"/>
                <w:szCs w:val="20"/>
              </w:rPr>
              <w:t xml:space="preserve"> (0.91)</w:t>
            </w:r>
          </w:p>
          <w:p w14:paraId="6CF7E569" w14:textId="43A34A23" w:rsidR="00EB4684" w:rsidRDefault="00EB4684" w:rsidP="006412EA">
            <w:pPr>
              <w:tabs>
                <w:tab w:val="right" w:pos="6732"/>
              </w:tabs>
              <w:rPr>
                <w:rFonts w:cstheme="minorHAnsi"/>
                <w:sz w:val="20"/>
                <w:szCs w:val="20"/>
              </w:rPr>
            </w:pPr>
          </w:p>
          <w:tbl>
            <w:tblPr>
              <w:tblW w:w="8893" w:type="dxa"/>
              <w:tblLook w:val="04A0" w:firstRow="1" w:lastRow="0" w:firstColumn="1" w:lastColumn="0" w:noHBand="0" w:noVBand="1"/>
            </w:tblPr>
            <w:tblGrid>
              <w:gridCol w:w="2640"/>
              <w:gridCol w:w="1151"/>
              <w:gridCol w:w="1279"/>
              <w:gridCol w:w="963"/>
              <w:gridCol w:w="960"/>
              <w:gridCol w:w="1900"/>
            </w:tblGrid>
            <w:tr w:rsidR="00EB4684" w:rsidRPr="00EB4684" w14:paraId="4FE24805" w14:textId="77777777" w:rsidTr="00EB4684">
              <w:trPr>
                <w:trHeight w:val="300"/>
              </w:trPr>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623795" w14:textId="77777777" w:rsidR="00EB4684" w:rsidRPr="00EB4684" w:rsidRDefault="00EB4684" w:rsidP="00EB4684">
                  <w:pPr>
                    <w:rPr>
                      <w:rFonts w:ascii="Calibri" w:hAnsi="Calibri" w:cs="Calibri"/>
                      <w:color w:val="000000"/>
                      <w:sz w:val="20"/>
                      <w:szCs w:val="20"/>
                    </w:rPr>
                  </w:pPr>
                  <w:r w:rsidRPr="00EB4684">
                    <w:rPr>
                      <w:rFonts w:ascii="Calibri" w:hAnsi="Calibri" w:cs="Calibri"/>
                      <w:color w:val="000000"/>
                      <w:sz w:val="20"/>
                      <w:szCs w:val="20"/>
                    </w:rPr>
                    <w:t>NTG_Measure_Type</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14:paraId="33FB3089" w14:textId="77777777" w:rsidR="00EB4684" w:rsidRPr="00EB4684" w:rsidRDefault="00EB4684" w:rsidP="00EB4684">
                  <w:pPr>
                    <w:rPr>
                      <w:rFonts w:ascii="Calibri" w:hAnsi="Calibri" w:cs="Calibri"/>
                      <w:color w:val="000000"/>
                      <w:sz w:val="20"/>
                      <w:szCs w:val="20"/>
                    </w:rPr>
                  </w:pPr>
                  <w:r w:rsidRPr="00EB4684">
                    <w:rPr>
                      <w:rFonts w:ascii="Calibri" w:hAnsi="Calibri" w:cs="Calibri"/>
                      <w:color w:val="000000"/>
                      <w:sz w:val="20"/>
                      <w:szCs w:val="20"/>
                    </w:rPr>
                    <w:t>NTGR_kWh</w:t>
                  </w:r>
                </w:p>
              </w:tc>
              <w:tc>
                <w:tcPr>
                  <w:tcW w:w="1279" w:type="dxa"/>
                  <w:tcBorders>
                    <w:top w:val="single" w:sz="4" w:space="0" w:color="auto"/>
                    <w:left w:val="nil"/>
                    <w:bottom w:val="single" w:sz="4" w:space="0" w:color="auto"/>
                    <w:right w:val="single" w:sz="4" w:space="0" w:color="auto"/>
                  </w:tcBorders>
                  <w:shd w:val="clear" w:color="auto" w:fill="auto"/>
                  <w:noWrap/>
                  <w:vAlign w:val="bottom"/>
                  <w:hideMark/>
                </w:tcPr>
                <w:p w14:paraId="4681D6B4" w14:textId="77777777" w:rsidR="00EB4684" w:rsidRPr="00EB4684" w:rsidRDefault="00EB4684" w:rsidP="00EB4684">
                  <w:pPr>
                    <w:rPr>
                      <w:rFonts w:ascii="Calibri" w:hAnsi="Calibri" w:cs="Calibri"/>
                      <w:color w:val="000000"/>
                      <w:sz w:val="20"/>
                      <w:szCs w:val="20"/>
                    </w:rPr>
                  </w:pPr>
                  <w:r w:rsidRPr="00EB4684">
                    <w:rPr>
                      <w:rFonts w:ascii="Calibri" w:hAnsi="Calibri" w:cs="Calibri"/>
                      <w:color w:val="000000"/>
                      <w:sz w:val="20"/>
                      <w:szCs w:val="20"/>
                    </w:rPr>
                    <w:t>NTGR_therm</w:t>
                  </w:r>
                </w:p>
              </w:tc>
              <w:tc>
                <w:tcPr>
                  <w:tcW w:w="963" w:type="dxa"/>
                  <w:tcBorders>
                    <w:top w:val="single" w:sz="4" w:space="0" w:color="auto"/>
                    <w:left w:val="nil"/>
                    <w:bottom w:val="single" w:sz="4" w:space="0" w:color="auto"/>
                    <w:right w:val="single" w:sz="4" w:space="0" w:color="auto"/>
                  </w:tcBorders>
                  <w:shd w:val="clear" w:color="auto" w:fill="auto"/>
                  <w:noWrap/>
                  <w:vAlign w:val="bottom"/>
                  <w:hideMark/>
                </w:tcPr>
                <w:p w14:paraId="7E16968C" w14:textId="77777777" w:rsidR="00EB4684" w:rsidRPr="00EB4684" w:rsidRDefault="00EB4684" w:rsidP="00EB4684">
                  <w:pPr>
                    <w:rPr>
                      <w:rFonts w:ascii="Calibri" w:hAnsi="Calibri" w:cs="Calibri"/>
                      <w:color w:val="000000"/>
                      <w:sz w:val="20"/>
                      <w:szCs w:val="20"/>
                    </w:rPr>
                  </w:pPr>
                  <w:r w:rsidRPr="00EB4684">
                    <w:rPr>
                      <w:rFonts w:ascii="Calibri" w:hAnsi="Calibri" w:cs="Calibri"/>
                      <w:color w:val="000000"/>
                      <w:sz w:val="20"/>
                      <w:szCs w:val="20"/>
                    </w:rPr>
                    <w:t>BldgType</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439A6CEC" w14:textId="77777777" w:rsidR="00EB4684" w:rsidRPr="00EB4684" w:rsidRDefault="00EB4684" w:rsidP="00EB4684">
                  <w:pPr>
                    <w:rPr>
                      <w:rFonts w:ascii="Calibri" w:hAnsi="Calibri" w:cs="Calibri"/>
                      <w:color w:val="000000"/>
                      <w:sz w:val="20"/>
                      <w:szCs w:val="20"/>
                    </w:rPr>
                  </w:pPr>
                  <w:r w:rsidRPr="00EB4684">
                    <w:rPr>
                      <w:rFonts w:ascii="Calibri" w:hAnsi="Calibri" w:cs="Calibri"/>
                      <w:color w:val="000000"/>
                      <w:sz w:val="20"/>
                      <w:szCs w:val="20"/>
                    </w:rPr>
                    <w:t>BldgVint</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14:paraId="16518183" w14:textId="77777777" w:rsidR="00EB4684" w:rsidRPr="00EB4684" w:rsidRDefault="00EB4684" w:rsidP="00EB4684">
                  <w:pPr>
                    <w:rPr>
                      <w:rFonts w:ascii="Calibri" w:hAnsi="Calibri" w:cs="Calibri"/>
                      <w:color w:val="000000"/>
                      <w:sz w:val="20"/>
                      <w:szCs w:val="20"/>
                    </w:rPr>
                  </w:pPr>
                  <w:r w:rsidRPr="00EB4684">
                    <w:rPr>
                      <w:rFonts w:ascii="Calibri" w:hAnsi="Calibri" w:cs="Calibri"/>
                      <w:color w:val="000000"/>
                      <w:sz w:val="20"/>
                      <w:szCs w:val="20"/>
                    </w:rPr>
                    <w:t>NTG_Qualifier</w:t>
                  </w:r>
                </w:p>
              </w:tc>
            </w:tr>
            <w:tr w:rsidR="00EB4684" w:rsidRPr="00EB4684" w14:paraId="253CA64D" w14:textId="77777777" w:rsidTr="00EB4684">
              <w:trPr>
                <w:trHeight w:val="300"/>
              </w:trPr>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0E9CC2" w14:textId="6B9D030E" w:rsidR="00EB4684" w:rsidRPr="00EB4684" w:rsidRDefault="00EB4684" w:rsidP="00EB4684">
                  <w:pPr>
                    <w:rPr>
                      <w:rFonts w:ascii="Calibri" w:hAnsi="Calibri" w:cs="Calibri"/>
                      <w:color w:val="000000"/>
                      <w:sz w:val="20"/>
                      <w:szCs w:val="20"/>
                    </w:rPr>
                  </w:pPr>
                  <w:r w:rsidRPr="00EB4684">
                    <w:rPr>
                      <w:rFonts w:ascii="Calibri" w:hAnsi="Calibri" w:cs="Calibri"/>
                      <w:color w:val="000000"/>
                      <w:sz w:val="20"/>
                      <w:szCs w:val="20"/>
                    </w:rPr>
                    <w:t>Commercial Interior Hi/Low Bay LED Fixtures, For NR, ROB and NC Measure Application Types only. Not applicable to ER or AR</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A06794" w14:textId="1B0F9E57" w:rsidR="00EB4684" w:rsidRPr="00EB4684" w:rsidRDefault="00EB4684" w:rsidP="00EB4684">
                  <w:pPr>
                    <w:rPr>
                      <w:rFonts w:ascii="Calibri" w:hAnsi="Calibri" w:cs="Calibri"/>
                      <w:color w:val="000000"/>
                      <w:sz w:val="20"/>
                      <w:szCs w:val="20"/>
                    </w:rPr>
                  </w:pPr>
                  <w:r w:rsidRPr="00EB4684">
                    <w:rPr>
                      <w:rFonts w:ascii="Calibri" w:hAnsi="Calibri" w:cs="Calibri"/>
                      <w:color w:val="000000"/>
                      <w:sz w:val="20"/>
                      <w:szCs w:val="20"/>
                    </w:rPr>
                    <w:t>0.91</w:t>
                  </w:r>
                </w:p>
              </w:tc>
              <w:tc>
                <w:tcPr>
                  <w:tcW w:w="1279" w:type="dxa"/>
                  <w:tcBorders>
                    <w:top w:val="single" w:sz="4" w:space="0" w:color="auto"/>
                    <w:left w:val="nil"/>
                    <w:bottom w:val="single" w:sz="4" w:space="0" w:color="auto"/>
                    <w:right w:val="single" w:sz="4" w:space="0" w:color="auto"/>
                  </w:tcBorders>
                  <w:shd w:val="clear" w:color="auto" w:fill="auto"/>
                  <w:noWrap/>
                  <w:vAlign w:val="bottom"/>
                </w:tcPr>
                <w:p w14:paraId="50B25139" w14:textId="413A3D4E" w:rsidR="00EB4684" w:rsidRPr="00EB4684" w:rsidRDefault="00EB4684" w:rsidP="00EB4684">
                  <w:pPr>
                    <w:rPr>
                      <w:rFonts w:ascii="Calibri" w:hAnsi="Calibri" w:cs="Calibri"/>
                      <w:color w:val="000000"/>
                      <w:sz w:val="20"/>
                      <w:szCs w:val="20"/>
                    </w:rPr>
                  </w:pPr>
                  <w:r w:rsidRPr="00EB4684">
                    <w:rPr>
                      <w:rFonts w:ascii="Calibri" w:hAnsi="Calibri" w:cs="Calibri"/>
                      <w:color w:val="000000"/>
                      <w:sz w:val="20"/>
                      <w:szCs w:val="20"/>
                    </w:rPr>
                    <w:t>0.91</w:t>
                  </w:r>
                </w:p>
              </w:tc>
              <w:tc>
                <w:tcPr>
                  <w:tcW w:w="963" w:type="dxa"/>
                  <w:tcBorders>
                    <w:top w:val="single" w:sz="4" w:space="0" w:color="auto"/>
                    <w:left w:val="nil"/>
                    <w:bottom w:val="single" w:sz="4" w:space="0" w:color="auto"/>
                    <w:right w:val="single" w:sz="4" w:space="0" w:color="auto"/>
                  </w:tcBorders>
                  <w:shd w:val="clear" w:color="auto" w:fill="auto"/>
                  <w:noWrap/>
                  <w:vAlign w:val="bottom"/>
                </w:tcPr>
                <w:p w14:paraId="63E2DF98" w14:textId="724EC109" w:rsidR="00EB4684" w:rsidRPr="00EB4684" w:rsidRDefault="00EB4684" w:rsidP="00EB4684">
                  <w:pPr>
                    <w:rPr>
                      <w:rFonts w:ascii="Calibri" w:hAnsi="Calibri" w:cs="Calibri"/>
                      <w:color w:val="000000"/>
                      <w:sz w:val="20"/>
                      <w:szCs w:val="20"/>
                    </w:rPr>
                  </w:pPr>
                  <w:r w:rsidRPr="00EB4684">
                    <w:rPr>
                      <w:rFonts w:ascii="Calibri" w:hAnsi="Calibri" w:cs="Calibri"/>
                      <w:color w:val="000000"/>
                      <w:sz w:val="20"/>
                      <w:szCs w:val="20"/>
                    </w:rPr>
                    <w:t>Any</w:t>
                  </w:r>
                </w:p>
              </w:tc>
              <w:tc>
                <w:tcPr>
                  <w:tcW w:w="960" w:type="dxa"/>
                  <w:tcBorders>
                    <w:top w:val="single" w:sz="4" w:space="0" w:color="auto"/>
                    <w:left w:val="nil"/>
                    <w:bottom w:val="single" w:sz="4" w:space="0" w:color="auto"/>
                    <w:right w:val="single" w:sz="4" w:space="0" w:color="auto"/>
                  </w:tcBorders>
                  <w:shd w:val="clear" w:color="auto" w:fill="auto"/>
                  <w:noWrap/>
                  <w:vAlign w:val="bottom"/>
                </w:tcPr>
                <w:p w14:paraId="11A8B153" w14:textId="52505F18" w:rsidR="00EB4684" w:rsidRPr="00EB4684" w:rsidRDefault="00EB4684" w:rsidP="00EB4684">
                  <w:pPr>
                    <w:rPr>
                      <w:rFonts w:ascii="Calibri" w:hAnsi="Calibri" w:cs="Calibri"/>
                      <w:color w:val="000000"/>
                      <w:sz w:val="20"/>
                      <w:szCs w:val="20"/>
                    </w:rPr>
                  </w:pPr>
                  <w:r w:rsidRPr="00EB4684">
                    <w:rPr>
                      <w:rFonts w:ascii="Calibri" w:hAnsi="Calibri" w:cs="Calibri"/>
                      <w:color w:val="000000"/>
                      <w:sz w:val="20"/>
                      <w:szCs w:val="20"/>
                    </w:rPr>
                    <w:t>Any</w:t>
                  </w:r>
                </w:p>
              </w:tc>
              <w:tc>
                <w:tcPr>
                  <w:tcW w:w="1900" w:type="dxa"/>
                  <w:tcBorders>
                    <w:top w:val="single" w:sz="4" w:space="0" w:color="auto"/>
                    <w:left w:val="nil"/>
                    <w:bottom w:val="single" w:sz="4" w:space="0" w:color="auto"/>
                    <w:right w:val="single" w:sz="4" w:space="0" w:color="auto"/>
                  </w:tcBorders>
                  <w:shd w:val="clear" w:color="auto" w:fill="auto"/>
                  <w:noWrap/>
                  <w:vAlign w:val="bottom"/>
                </w:tcPr>
                <w:p w14:paraId="0FA76E3C" w14:textId="4607E6C8" w:rsidR="00EB4684" w:rsidRPr="00EB4684" w:rsidRDefault="00EB4684" w:rsidP="00EB4684">
                  <w:pPr>
                    <w:rPr>
                      <w:rFonts w:ascii="Calibri" w:hAnsi="Calibri" w:cs="Calibri"/>
                      <w:color w:val="000000"/>
                      <w:sz w:val="20"/>
                      <w:szCs w:val="20"/>
                    </w:rPr>
                  </w:pPr>
                  <w:r w:rsidRPr="00EB4684">
                    <w:rPr>
                      <w:rFonts w:ascii="Calibri" w:hAnsi="Calibri" w:cs="Calibri"/>
                      <w:color w:val="000000"/>
                      <w:sz w:val="20"/>
                      <w:szCs w:val="20"/>
                    </w:rPr>
                    <w:t>For NR, ROB and NC Measure Application Types only. Not applicable to ER or AR</w:t>
                  </w:r>
                </w:p>
              </w:tc>
            </w:tr>
          </w:tbl>
          <w:p w14:paraId="51E76489" w14:textId="77777777" w:rsidR="00EB4684" w:rsidRPr="00036409" w:rsidRDefault="00EB4684" w:rsidP="006412EA">
            <w:pPr>
              <w:tabs>
                <w:tab w:val="right" w:pos="6732"/>
              </w:tabs>
              <w:rPr>
                <w:rFonts w:cstheme="minorHAnsi"/>
                <w:sz w:val="20"/>
                <w:szCs w:val="20"/>
              </w:rPr>
            </w:pPr>
          </w:p>
          <w:p w14:paraId="39981DF2" w14:textId="77777777" w:rsidR="006412EA" w:rsidRDefault="006412EA" w:rsidP="006412EA">
            <w:pPr>
              <w:tabs>
                <w:tab w:val="right" w:pos="6732"/>
              </w:tabs>
              <w:rPr>
                <w:rFonts w:cstheme="minorHAnsi"/>
                <w:sz w:val="20"/>
                <w:szCs w:val="20"/>
              </w:rPr>
            </w:pPr>
            <w:r w:rsidRPr="00036409">
              <w:rPr>
                <w:rFonts w:cstheme="minorHAnsi"/>
                <w:sz w:val="20"/>
                <w:szCs w:val="20"/>
              </w:rPr>
              <w:t xml:space="preserve">GSIA ID: Def-GSIA (GSIA =1.0) </w:t>
            </w:r>
          </w:p>
          <w:p w14:paraId="4659C818" w14:textId="16258CD2" w:rsidR="00EB4684" w:rsidRPr="00036409" w:rsidRDefault="00EB4684" w:rsidP="006412EA">
            <w:pPr>
              <w:tabs>
                <w:tab w:val="right" w:pos="6732"/>
              </w:tabs>
              <w:rPr>
                <w:rFonts w:cstheme="minorHAnsi"/>
                <w:sz w:val="20"/>
                <w:szCs w:val="20"/>
              </w:rPr>
            </w:pPr>
          </w:p>
        </w:tc>
      </w:tr>
      <w:tr w:rsidR="006412EA" w14:paraId="4659C81C" w14:textId="77777777" w:rsidTr="00EB4684">
        <w:trPr>
          <w:cantSplit/>
        </w:trPr>
        <w:tc>
          <w:tcPr>
            <w:tcW w:w="1710" w:type="dxa"/>
            <w:vAlign w:val="center"/>
          </w:tcPr>
          <w:p w14:paraId="4659C81A" w14:textId="77777777" w:rsidR="006412EA" w:rsidRPr="00822B6F" w:rsidRDefault="006412EA" w:rsidP="006412EA">
            <w:pPr>
              <w:jc w:val="right"/>
              <w:rPr>
                <w:sz w:val="20"/>
                <w:szCs w:val="20"/>
              </w:rPr>
            </w:pPr>
            <w:r w:rsidRPr="00822B6F">
              <w:rPr>
                <w:sz w:val="20"/>
                <w:szCs w:val="20"/>
              </w:rPr>
              <w:t>Effective and Remaining Useful Life</w:t>
            </w:r>
          </w:p>
        </w:tc>
        <w:tc>
          <w:tcPr>
            <w:tcW w:w="9090" w:type="dxa"/>
          </w:tcPr>
          <w:p w14:paraId="7D1A8638" w14:textId="26360027" w:rsidR="006412EA" w:rsidRDefault="00EF43DF" w:rsidP="006412EA">
            <w:pPr>
              <w:tabs>
                <w:tab w:val="right" w:pos="6732"/>
              </w:tabs>
              <w:rPr>
                <w:rFonts w:cstheme="minorHAnsi"/>
                <w:sz w:val="20"/>
                <w:szCs w:val="20"/>
              </w:rPr>
            </w:pPr>
            <w:r>
              <w:rPr>
                <w:rFonts w:cstheme="minorHAnsi"/>
                <w:sz w:val="20"/>
                <w:szCs w:val="20"/>
              </w:rPr>
              <w:t xml:space="preserve">EUL/RUL IDs: </w:t>
            </w:r>
          </w:p>
          <w:tbl>
            <w:tblPr>
              <w:tblStyle w:val="TableGrid"/>
              <w:tblW w:w="0" w:type="auto"/>
              <w:tblLook w:val="04A0" w:firstRow="1" w:lastRow="0" w:firstColumn="1" w:lastColumn="0" w:noHBand="0" w:noVBand="1"/>
            </w:tblPr>
            <w:tblGrid>
              <w:gridCol w:w="1395"/>
              <w:gridCol w:w="2340"/>
            </w:tblGrid>
            <w:tr w:rsidR="00EB4684" w14:paraId="24796C1A" w14:textId="77777777" w:rsidTr="00EF43DF">
              <w:tc>
                <w:tcPr>
                  <w:tcW w:w="1395" w:type="dxa"/>
                </w:tcPr>
                <w:p w14:paraId="6789FB96" w14:textId="6493EFA2" w:rsidR="00EB4684" w:rsidRDefault="00EB4684" w:rsidP="006412EA">
                  <w:pPr>
                    <w:tabs>
                      <w:tab w:val="right" w:pos="6732"/>
                    </w:tabs>
                    <w:rPr>
                      <w:rFonts w:cstheme="minorHAnsi"/>
                      <w:sz w:val="20"/>
                      <w:szCs w:val="20"/>
                    </w:rPr>
                  </w:pPr>
                  <w:r>
                    <w:rPr>
                      <w:rFonts w:cstheme="minorHAnsi"/>
                      <w:sz w:val="20"/>
                      <w:szCs w:val="20"/>
                    </w:rPr>
                    <w:t>Technology</w:t>
                  </w:r>
                </w:p>
              </w:tc>
              <w:tc>
                <w:tcPr>
                  <w:tcW w:w="2340" w:type="dxa"/>
                </w:tcPr>
                <w:p w14:paraId="18915ADC" w14:textId="5339F141" w:rsidR="00EB4684" w:rsidRDefault="00EB4684" w:rsidP="006412EA">
                  <w:pPr>
                    <w:tabs>
                      <w:tab w:val="right" w:pos="6732"/>
                    </w:tabs>
                    <w:rPr>
                      <w:rFonts w:cstheme="minorHAnsi"/>
                      <w:sz w:val="20"/>
                      <w:szCs w:val="20"/>
                    </w:rPr>
                  </w:pPr>
                  <w:r>
                    <w:rPr>
                      <w:rFonts w:cstheme="minorHAnsi"/>
                      <w:sz w:val="20"/>
                      <w:szCs w:val="20"/>
                    </w:rPr>
                    <w:t>EUL ID</w:t>
                  </w:r>
                </w:p>
              </w:tc>
            </w:tr>
            <w:tr w:rsidR="00EB4684" w14:paraId="69C7A123" w14:textId="77777777" w:rsidTr="00EF43DF">
              <w:tc>
                <w:tcPr>
                  <w:tcW w:w="1395" w:type="dxa"/>
                </w:tcPr>
                <w:p w14:paraId="6134EFAB" w14:textId="61434639" w:rsidR="00EB4684" w:rsidRDefault="00EB4684" w:rsidP="006412EA">
                  <w:pPr>
                    <w:tabs>
                      <w:tab w:val="right" w:pos="6732"/>
                    </w:tabs>
                    <w:rPr>
                      <w:rFonts w:cstheme="minorHAnsi"/>
                      <w:sz w:val="20"/>
                      <w:szCs w:val="20"/>
                    </w:rPr>
                  </w:pPr>
                  <w:r>
                    <w:rPr>
                      <w:rFonts w:cstheme="minorHAnsi"/>
                      <w:sz w:val="20"/>
                      <w:szCs w:val="20"/>
                    </w:rPr>
                    <w:t>High-Bay</w:t>
                  </w:r>
                </w:p>
              </w:tc>
              <w:tc>
                <w:tcPr>
                  <w:tcW w:w="2340" w:type="dxa"/>
                </w:tcPr>
                <w:p w14:paraId="045304F3" w14:textId="1A140A49" w:rsidR="00EB4684" w:rsidRDefault="00EB4684" w:rsidP="006412EA">
                  <w:pPr>
                    <w:tabs>
                      <w:tab w:val="right" w:pos="6732"/>
                    </w:tabs>
                    <w:rPr>
                      <w:rFonts w:cstheme="minorHAnsi"/>
                      <w:sz w:val="20"/>
                      <w:szCs w:val="20"/>
                    </w:rPr>
                  </w:pPr>
                  <w:r w:rsidRPr="00EF43DF">
                    <w:rPr>
                      <w:rFonts w:cstheme="minorHAnsi"/>
                      <w:sz w:val="20"/>
                      <w:szCs w:val="20"/>
                    </w:rPr>
                    <w:t>ILtg-Com-LED-50000hr</w:t>
                  </w:r>
                </w:p>
              </w:tc>
            </w:tr>
            <w:tr w:rsidR="00EB4684" w14:paraId="42A5B117" w14:textId="77777777" w:rsidTr="00EF43DF">
              <w:tc>
                <w:tcPr>
                  <w:tcW w:w="1395" w:type="dxa"/>
                </w:tcPr>
                <w:p w14:paraId="2A7D9C99" w14:textId="7AB425CE" w:rsidR="00EB4684" w:rsidRDefault="00EB4684" w:rsidP="006412EA">
                  <w:pPr>
                    <w:tabs>
                      <w:tab w:val="right" w:pos="6732"/>
                    </w:tabs>
                    <w:rPr>
                      <w:rFonts w:cstheme="minorHAnsi"/>
                      <w:sz w:val="20"/>
                      <w:szCs w:val="20"/>
                    </w:rPr>
                  </w:pPr>
                  <w:r>
                    <w:rPr>
                      <w:rFonts w:cstheme="minorHAnsi"/>
                      <w:sz w:val="20"/>
                      <w:szCs w:val="20"/>
                    </w:rPr>
                    <w:t>Low-Bay</w:t>
                  </w:r>
                </w:p>
              </w:tc>
              <w:tc>
                <w:tcPr>
                  <w:tcW w:w="2340" w:type="dxa"/>
                </w:tcPr>
                <w:p w14:paraId="73DE4ED9" w14:textId="35A4B70A" w:rsidR="00EB4684" w:rsidRDefault="00EB4684" w:rsidP="006412EA">
                  <w:pPr>
                    <w:tabs>
                      <w:tab w:val="right" w:pos="6732"/>
                    </w:tabs>
                    <w:rPr>
                      <w:rFonts w:cstheme="minorHAnsi"/>
                      <w:sz w:val="20"/>
                      <w:szCs w:val="20"/>
                    </w:rPr>
                  </w:pPr>
                  <w:r w:rsidRPr="00EF43DF">
                    <w:rPr>
                      <w:rFonts w:cstheme="minorHAnsi"/>
                      <w:sz w:val="20"/>
                      <w:szCs w:val="20"/>
                    </w:rPr>
                    <w:t>ILtg-Com-LED-50000hr</w:t>
                  </w:r>
                </w:p>
              </w:tc>
            </w:tr>
          </w:tbl>
          <w:p w14:paraId="4659C81B" w14:textId="5FF1BCFF" w:rsidR="00EF43DF" w:rsidRPr="00036409" w:rsidRDefault="00EF43DF" w:rsidP="006412EA">
            <w:pPr>
              <w:tabs>
                <w:tab w:val="right" w:pos="6732"/>
              </w:tabs>
              <w:rPr>
                <w:rFonts w:cstheme="minorHAnsi"/>
                <w:sz w:val="20"/>
                <w:szCs w:val="20"/>
              </w:rPr>
            </w:pPr>
          </w:p>
        </w:tc>
      </w:tr>
      <w:tr w:rsidR="006412EA" w14:paraId="4659C81F" w14:textId="77777777" w:rsidTr="00EB4684">
        <w:trPr>
          <w:cantSplit/>
        </w:trPr>
        <w:tc>
          <w:tcPr>
            <w:tcW w:w="1710" w:type="dxa"/>
            <w:vAlign w:val="center"/>
          </w:tcPr>
          <w:p w14:paraId="4659C81D" w14:textId="77777777" w:rsidR="006412EA" w:rsidRPr="001D77F7" w:rsidRDefault="006412EA" w:rsidP="006412EA">
            <w:pPr>
              <w:rPr>
                <w:b/>
              </w:rPr>
            </w:pPr>
            <w:r w:rsidRPr="001D77F7">
              <w:rPr>
                <w:b/>
              </w:rPr>
              <w:t>Section 2. Calculation Methodology</w:t>
            </w:r>
          </w:p>
        </w:tc>
        <w:tc>
          <w:tcPr>
            <w:tcW w:w="9090" w:type="dxa"/>
            <w:vAlign w:val="center"/>
          </w:tcPr>
          <w:p w14:paraId="4659C81E" w14:textId="49041097" w:rsidR="006412EA" w:rsidRPr="00036409" w:rsidRDefault="006412EA" w:rsidP="006412EA">
            <w:pPr>
              <w:rPr>
                <w:rFonts w:cstheme="minorHAnsi"/>
                <w:sz w:val="20"/>
                <w:szCs w:val="20"/>
              </w:rPr>
            </w:pPr>
            <w:r w:rsidRPr="00036409">
              <w:rPr>
                <w:rFonts w:cstheme="minorHAnsi"/>
                <w:sz w:val="20"/>
                <w:szCs w:val="20"/>
              </w:rPr>
              <w:t xml:space="preserve">Measures will be processed using DEER Measure/Impact ID by building type and Building Location.  All </w:t>
            </w:r>
            <w:r w:rsidR="000473F3">
              <w:rPr>
                <w:rFonts w:cstheme="minorHAnsi"/>
                <w:sz w:val="20"/>
                <w:szCs w:val="20"/>
              </w:rPr>
              <w:t xml:space="preserve">measure claims </w:t>
            </w:r>
            <w:r w:rsidRPr="00036409">
              <w:rPr>
                <w:rFonts w:cstheme="minorHAnsi"/>
                <w:sz w:val="20"/>
                <w:szCs w:val="20"/>
              </w:rPr>
              <w:t>will be processed and claimed using “Existing” vintage.</w:t>
            </w:r>
          </w:p>
        </w:tc>
      </w:tr>
      <w:tr w:rsidR="006412EA" w14:paraId="4659C822" w14:textId="77777777" w:rsidTr="00EB4684">
        <w:trPr>
          <w:cantSplit/>
        </w:trPr>
        <w:tc>
          <w:tcPr>
            <w:tcW w:w="1710" w:type="dxa"/>
            <w:vAlign w:val="center"/>
          </w:tcPr>
          <w:p w14:paraId="4659C820" w14:textId="77777777" w:rsidR="006412EA" w:rsidRDefault="006412EA" w:rsidP="006412EA">
            <w:pPr>
              <w:jc w:val="right"/>
            </w:pPr>
            <w:r>
              <w:rPr>
                <w:rFonts w:cs="Arial"/>
                <w:sz w:val="20"/>
                <w:szCs w:val="20"/>
              </w:rPr>
              <w:t>Energy Savings/Peak Demand Reduction – All Measures</w:t>
            </w:r>
          </w:p>
        </w:tc>
        <w:tc>
          <w:tcPr>
            <w:tcW w:w="9090" w:type="dxa"/>
          </w:tcPr>
          <w:p w14:paraId="4659C821" w14:textId="798390B1" w:rsidR="006412EA" w:rsidRPr="00036409" w:rsidRDefault="006412EA" w:rsidP="006412EA">
            <w:pPr>
              <w:tabs>
                <w:tab w:val="right" w:pos="6732"/>
              </w:tabs>
              <w:rPr>
                <w:rFonts w:cstheme="minorHAnsi"/>
                <w:sz w:val="20"/>
                <w:szCs w:val="20"/>
              </w:rPr>
            </w:pPr>
            <w:r w:rsidRPr="00036409">
              <w:rPr>
                <w:rFonts w:cstheme="minorHAnsi"/>
                <w:sz w:val="20"/>
                <w:szCs w:val="20"/>
              </w:rPr>
              <w:t xml:space="preserve">All Energy Impacts per DEER Measure IDs noted </w:t>
            </w:r>
            <w:r w:rsidR="000473F3">
              <w:rPr>
                <w:rFonts w:cstheme="minorHAnsi"/>
                <w:sz w:val="20"/>
                <w:szCs w:val="20"/>
              </w:rPr>
              <w:t xml:space="preserve">herein </w:t>
            </w:r>
            <w:r w:rsidRPr="00036409">
              <w:rPr>
                <w:rFonts w:cstheme="minorHAnsi"/>
                <w:sz w:val="20"/>
                <w:szCs w:val="20"/>
              </w:rPr>
              <w:t>above</w:t>
            </w:r>
            <w:r w:rsidR="00766E2A">
              <w:rPr>
                <w:rFonts w:cstheme="minorHAnsi"/>
                <w:sz w:val="20"/>
                <w:szCs w:val="20"/>
              </w:rPr>
              <w:t>.</w:t>
            </w:r>
          </w:p>
        </w:tc>
      </w:tr>
      <w:tr w:rsidR="006412EA" w14:paraId="4659C825" w14:textId="77777777" w:rsidTr="00EB4684">
        <w:trPr>
          <w:cantSplit/>
        </w:trPr>
        <w:tc>
          <w:tcPr>
            <w:tcW w:w="1710" w:type="dxa"/>
            <w:vAlign w:val="center"/>
          </w:tcPr>
          <w:p w14:paraId="4659C823" w14:textId="77777777" w:rsidR="006412EA" w:rsidRPr="001D77F7" w:rsidRDefault="006412EA" w:rsidP="006412EA">
            <w:pPr>
              <w:rPr>
                <w:b/>
              </w:rPr>
            </w:pPr>
            <w:r w:rsidRPr="001D77F7">
              <w:rPr>
                <w:b/>
              </w:rPr>
              <w:t>Section 3. Load Shapes</w:t>
            </w:r>
          </w:p>
        </w:tc>
        <w:tc>
          <w:tcPr>
            <w:tcW w:w="9090" w:type="dxa"/>
          </w:tcPr>
          <w:p w14:paraId="08A3396F" w14:textId="376E60F5" w:rsidR="006412EA" w:rsidRDefault="00EF43DF" w:rsidP="006412EA">
            <w:pPr>
              <w:tabs>
                <w:tab w:val="right" w:pos="6732"/>
              </w:tabs>
              <w:rPr>
                <w:rFonts w:cstheme="minorHAnsi"/>
                <w:sz w:val="20"/>
                <w:szCs w:val="20"/>
              </w:rPr>
            </w:pPr>
            <w:r>
              <w:rPr>
                <w:rFonts w:cstheme="minorHAnsi"/>
                <w:sz w:val="20"/>
                <w:szCs w:val="20"/>
              </w:rPr>
              <w:t>ElecImpactProfile: “</w:t>
            </w:r>
            <w:r w:rsidRPr="00EF43DF">
              <w:rPr>
                <w:rFonts w:cstheme="minorHAnsi"/>
                <w:sz w:val="20"/>
                <w:szCs w:val="20"/>
              </w:rPr>
              <w:t>DEER:Com:Indoor_Non-CFL_Ltg</w:t>
            </w:r>
            <w:r>
              <w:rPr>
                <w:rFonts w:cstheme="minorHAnsi"/>
                <w:sz w:val="20"/>
                <w:szCs w:val="20"/>
              </w:rPr>
              <w:t>” (DEER)</w:t>
            </w:r>
          </w:p>
          <w:p w14:paraId="4659C824" w14:textId="496227E2" w:rsidR="00EF43DF" w:rsidRPr="00036409" w:rsidRDefault="00EF43DF" w:rsidP="006412EA">
            <w:pPr>
              <w:tabs>
                <w:tab w:val="right" w:pos="6732"/>
              </w:tabs>
              <w:rPr>
                <w:rFonts w:cstheme="minorHAnsi"/>
                <w:sz w:val="20"/>
                <w:szCs w:val="20"/>
              </w:rPr>
            </w:pPr>
            <w:r>
              <w:rPr>
                <w:rFonts w:cstheme="minorHAnsi"/>
                <w:sz w:val="20"/>
                <w:szCs w:val="20"/>
              </w:rPr>
              <w:t>GasImpact Profile ID: “Annual”</w:t>
            </w:r>
          </w:p>
        </w:tc>
      </w:tr>
      <w:tr w:rsidR="006412EA" w14:paraId="4659C828" w14:textId="77777777" w:rsidTr="00EB4684">
        <w:trPr>
          <w:cantSplit/>
        </w:trPr>
        <w:tc>
          <w:tcPr>
            <w:tcW w:w="1710" w:type="dxa"/>
            <w:vAlign w:val="center"/>
          </w:tcPr>
          <w:p w14:paraId="4659C826" w14:textId="77777777" w:rsidR="006412EA" w:rsidRPr="001D77F7" w:rsidRDefault="006412EA" w:rsidP="006412EA">
            <w:pPr>
              <w:rPr>
                <w:b/>
              </w:rPr>
            </w:pPr>
            <w:r w:rsidRPr="001D77F7">
              <w:rPr>
                <w:b/>
              </w:rPr>
              <w:t>Section 4. Costs</w:t>
            </w:r>
          </w:p>
        </w:tc>
        <w:tc>
          <w:tcPr>
            <w:tcW w:w="9090" w:type="dxa"/>
          </w:tcPr>
          <w:p w14:paraId="4659C827" w14:textId="0356ED6B" w:rsidR="006412EA" w:rsidRPr="00036409" w:rsidRDefault="006412EA" w:rsidP="006412EA">
            <w:pPr>
              <w:rPr>
                <w:rFonts w:cstheme="minorHAnsi"/>
                <w:sz w:val="20"/>
                <w:szCs w:val="20"/>
              </w:rPr>
            </w:pPr>
          </w:p>
        </w:tc>
      </w:tr>
      <w:tr w:rsidR="006412EA" w:rsidRPr="00393EC8" w14:paraId="4659C82B" w14:textId="77777777" w:rsidTr="00EB4684">
        <w:trPr>
          <w:cantSplit/>
        </w:trPr>
        <w:tc>
          <w:tcPr>
            <w:tcW w:w="1710" w:type="dxa"/>
          </w:tcPr>
          <w:p w14:paraId="4659C829" w14:textId="77777777" w:rsidR="006412EA" w:rsidRPr="00393EC8" w:rsidRDefault="006412EA" w:rsidP="006412EA">
            <w:pPr>
              <w:rPr>
                <w:b/>
              </w:rPr>
            </w:pPr>
            <w:r w:rsidRPr="00393EC8">
              <w:rPr>
                <w:b/>
              </w:rPr>
              <w:t>Section 4.1 Modeled Costs</w:t>
            </w:r>
          </w:p>
        </w:tc>
        <w:tc>
          <w:tcPr>
            <w:tcW w:w="9090" w:type="dxa"/>
          </w:tcPr>
          <w:p w14:paraId="4659C82A" w14:textId="020DFDE7" w:rsidR="006412EA" w:rsidRPr="00036409" w:rsidRDefault="006412EA" w:rsidP="006412EA">
            <w:pPr>
              <w:rPr>
                <w:rFonts w:cstheme="minorHAnsi"/>
                <w:b/>
                <w:sz w:val="20"/>
                <w:szCs w:val="20"/>
              </w:rPr>
            </w:pPr>
          </w:p>
        </w:tc>
      </w:tr>
      <w:tr w:rsidR="006412EA" w14:paraId="4659C82E" w14:textId="77777777" w:rsidTr="00EB4684">
        <w:trPr>
          <w:cantSplit/>
        </w:trPr>
        <w:tc>
          <w:tcPr>
            <w:tcW w:w="1710" w:type="dxa"/>
          </w:tcPr>
          <w:p w14:paraId="4659C82C" w14:textId="29434E44" w:rsidR="006412EA" w:rsidRPr="00822B6F" w:rsidRDefault="006412EA" w:rsidP="006412EA">
            <w:pPr>
              <w:jc w:val="right"/>
              <w:rPr>
                <w:sz w:val="20"/>
                <w:szCs w:val="20"/>
              </w:rPr>
            </w:pPr>
            <w:r>
              <w:rPr>
                <w:sz w:val="20"/>
                <w:szCs w:val="20"/>
              </w:rPr>
              <w:t>Base Cost</w:t>
            </w:r>
          </w:p>
        </w:tc>
        <w:tc>
          <w:tcPr>
            <w:tcW w:w="9090" w:type="dxa"/>
          </w:tcPr>
          <w:p w14:paraId="5D754007" w14:textId="77777777" w:rsidR="0018661A" w:rsidRDefault="0018661A" w:rsidP="0018661A">
            <w:pPr>
              <w:rPr>
                <w:rFonts w:cstheme="minorHAnsi"/>
                <w:sz w:val="20"/>
                <w:szCs w:val="20"/>
              </w:rPr>
            </w:pPr>
            <w:r>
              <w:rPr>
                <w:rFonts w:cstheme="minorHAnsi"/>
                <w:sz w:val="20"/>
                <w:szCs w:val="20"/>
              </w:rPr>
              <w:t>As stated per PGE workpaper (PGECOLTG178 R3) and 2018 May 7</w:t>
            </w:r>
            <w:r w:rsidRPr="0018661A">
              <w:rPr>
                <w:rFonts w:cstheme="minorHAnsi"/>
                <w:sz w:val="20"/>
                <w:szCs w:val="20"/>
                <w:vertAlign w:val="superscript"/>
              </w:rPr>
              <w:t>th</w:t>
            </w:r>
            <w:r>
              <w:rPr>
                <w:rFonts w:cstheme="minorHAnsi"/>
                <w:sz w:val="20"/>
                <w:szCs w:val="20"/>
              </w:rPr>
              <w:t xml:space="preserve"> Phase 2 CPUC Energy Division Lighting Disposition for High-Bay and Low-Bay Interim approval of PEAR database and DEER/</w:t>
            </w:r>
            <w:r w:rsidRPr="00036409">
              <w:rPr>
                <w:rFonts w:cstheme="minorHAnsi"/>
                <w:sz w:val="20"/>
                <w:szCs w:val="20"/>
              </w:rPr>
              <w:t>READi 2.4.</w:t>
            </w:r>
            <w:r>
              <w:rPr>
                <w:rFonts w:cstheme="minorHAnsi"/>
                <w:sz w:val="20"/>
                <w:szCs w:val="20"/>
              </w:rPr>
              <w:t xml:space="preserve">8 user interface and available on </w:t>
            </w:r>
            <w:hyperlink r:id="rId14" w:history="1">
              <w:r w:rsidRPr="00B23D0A">
                <w:rPr>
                  <w:rStyle w:val="Hyperlink"/>
                  <w:rFonts w:cstheme="minorHAnsi"/>
                  <w:sz w:val="20"/>
                  <w:szCs w:val="20"/>
                </w:rPr>
                <w:t>www.deeresources.net</w:t>
              </w:r>
            </w:hyperlink>
            <w:r>
              <w:rPr>
                <w:rFonts w:cstheme="minorHAnsi"/>
                <w:sz w:val="20"/>
                <w:szCs w:val="20"/>
              </w:rPr>
              <w:t xml:space="preserve"> .</w:t>
            </w:r>
          </w:p>
          <w:p w14:paraId="33EB4920" w14:textId="77777777" w:rsidR="0018661A" w:rsidRDefault="0018661A" w:rsidP="0018661A">
            <w:pPr>
              <w:rPr>
                <w:rFonts w:cstheme="minorHAnsi"/>
                <w:sz w:val="20"/>
                <w:szCs w:val="20"/>
              </w:rPr>
            </w:pPr>
          </w:p>
          <w:p w14:paraId="165DD72F" w14:textId="5751E20D" w:rsidR="0018661A" w:rsidRDefault="0018661A" w:rsidP="0018661A">
            <w:pPr>
              <w:rPr>
                <w:rFonts w:cstheme="minorHAnsi"/>
                <w:sz w:val="20"/>
                <w:szCs w:val="20"/>
              </w:rPr>
            </w:pPr>
            <w:r>
              <w:rPr>
                <w:rFonts w:cstheme="minorHAnsi"/>
                <w:sz w:val="20"/>
                <w:szCs w:val="20"/>
              </w:rPr>
              <w:t>Base Cost = $ 0.00</w:t>
            </w:r>
          </w:p>
          <w:p w14:paraId="4659C82D" w14:textId="39ED847E" w:rsidR="006412EA" w:rsidRPr="00036409" w:rsidRDefault="006412EA" w:rsidP="006412EA">
            <w:pPr>
              <w:tabs>
                <w:tab w:val="right" w:pos="6732"/>
              </w:tabs>
              <w:rPr>
                <w:rFonts w:cstheme="minorHAnsi"/>
                <w:sz w:val="20"/>
                <w:szCs w:val="20"/>
              </w:rPr>
            </w:pPr>
          </w:p>
        </w:tc>
      </w:tr>
      <w:tr w:rsidR="006412EA" w14:paraId="4659C831" w14:textId="77777777" w:rsidTr="00EB4684">
        <w:trPr>
          <w:cantSplit/>
        </w:trPr>
        <w:tc>
          <w:tcPr>
            <w:tcW w:w="1710" w:type="dxa"/>
          </w:tcPr>
          <w:p w14:paraId="4659C82F" w14:textId="3EE3A73A" w:rsidR="006412EA" w:rsidRPr="00822B6F" w:rsidRDefault="006412EA" w:rsidP="006412EA">
            <w:pPr>
              <w:jc w:val="right"/>
              <w:rPr>
                <w:sz w:val="20"/>
                <w:szCs w:val="20"/>
              </w:rPr>
            </w:pPr>
            <w:r>
              <w:rPr>
                <w:sz w:val="20"/>
                <w:szCs w:val="20"/>
              </w:rPr>
              <w:lastRenderedPageBreak/>
              <w:t>Measure Cost</w:t>
            </w:r>
            <w:r w:rsidR="00DF4A60">
              <w:rPr>
                <w:sz w:val="20"/>
                <w:szCs w:val="20"/>
              </w:rPr>
              <w:t xml:space="preserve"> and IMC</w:t>
            </w:r>
            <w:r>
              <w:rPr>
                <w:sz w:val="20"/>
                <w:szCs w:val="20"/>
              </w:rPr>
              <w:t xml:space="preserve"> </w:t>
            </w:r>
          </w:p>
        </w:tc>
        <w:tc>
          <w:tcPr>
            <w:tcW w:w="9090" w:type="dxa"/>
          </w:tcPr>
          <w:p w14:paraId="6D6B751A" w14:textId="702CCC60" w:rsidR="006412EA" w:rsidRDefault="0063241B" w:rsidP="006412EA">
            <w:pPr>
              <w:tabs>
                <w:tab w:val="right" w:pos="6732"/>
              </w:tabs>
              <w:rPr>
                <w:rFonts w:cs="Arial"/>
                <w:sz w:val="20"/>
                <w:szCs w:val="20"/>
              </w:rPr>
            </w:pPr>
            <w:r>
              <w:rPr>
                <w:rFonts w:cs="Arial"/>
                <w:sz w:val="20"/>
                <w:szCs w:val="20"/>
              </w:rPr>
              <w:t>All cost</w:t>
            </w:r>
            <w:r w:rsidR="0007740A">
              <w:rPr>
                <w:rFonts w:cs="Arial"/>
                <w:sz w:val="20"/>
                <w:szCs w:val="20"/>
              </w:rPr>
              <w:t>s</w:t>
            </w:r>
            <w:r>
              <w:rPr>
                <w:rFonts w:cs="Arial"/>
                <w:sz w:val="20"/>
                <w:szCs w:val="20"/>
              </w:rPr>
              <w:t xml:space="preserve"> are adopted from PEAR database using READi Tool v2.4.8</w:t>
            </w:r>
            <w:r w:rsidR="0007740A">
              <w:rPr>
                <w:rFonts w:cs="Arial"/>
                <w:sz w:val="20"/>
                <w:szCs w:val="20"/>
              </w:rPr>
              <w:t xml:space="preserve"> and as stated </w:t>
            </w:r>
            <w:r w:rsidR="0007740A">
              <w:rPr>
                <w:rFonts w:cstheme="minorHAnsi"/>
                <w:sz w:val="20"/>
                <w:szCs w:val="20"/>
              </w:rPr>
              <w:t>per PGE workpaper (PGECOLTG178 R3) and 2018 May 7</w:t>
            </w:r>
            <w:r w:rsidR="0007740A" w:rsidRPr="0018661A">
              <w:rPr>
                <w:rFonts w:cstheme="minorHAnsi"/>
                <w:sz w:val="20"/>
                <w:szCs w:val="20"/>
                <w:vertAlign w:val="superscript"/>
              </w:rPr>
              <w:t>th</w:t>
            </w:r>
            <w:r w:rsidR="0007740A">
              <w:rPr>
                <w:rFonts w:cstheme="minorHAnsi"/>
                <w:sz w:val="20"/>
                <w:szCs w:val="20"/>
              </w:rPr>
              <w:t xml:space="preserve"> Phase 2 CPUC Energy Division Lighting Disposition for High-Bay and Low-Bay Interim approval of PEAR database and DEER/</w:t>
            </w:r>
            <w:r w:rsidR="0007740A" w:rsidRPr="00036409">
              <w:rPr>
                <w:rFonts w:cstheme="minorHAnsi"/>
                <w:sz w:val="20"/>
                <w:szCs w:val="20"/>
              </w:rPr>
              <w:t>READi 2.4.</w:t>
            </w:r>
            <w:r w:rsidR="0007740A">
              <w:rPr>
                <w:rFonts w:cstheme="minorHAnsi"/>
                <w:sz w:val="20"/>
                <w:szCs w:val="20"/>
              </w:rPr>
              <w:t xml:space="preserve">8 user interface and available on </w:t>
            </w:r>
            <w:hyperlink r:id="rId15" w:history="1">
              <w:r w:rsidR="0007740A" w:rsidRPr="00B23D0A">
                <w:rPr>
                  <w:rStyle w:val="Hyperlink"/>
                  <w:rFonts w:cstheme="minorHAnsi"/>
                  <w:sz w:val="20"/>
                  <w:szCs w:val="20"/>
                </w:rPr>
                <w:t>www.deeresources.net</w:t>
              </w:r>
            </w:hyperlink>
          </w:p>
          <w:p w14:paraId="31F62D53" w14:textId="77777777" w:rsidR="004E4B24" w:rsidRDefault="004E4B24" w:rsidP="006412EA">
            <w:pPr>
              <w:tabs>
                <w:tab w:val="right" w:pos="6732"/>
              </w:tabs>
              <w:rPr>
                <w:rFonts w:cs="Arial"/>
                <w:sz w:val="20"/>
                <w:szCs w:val="20"/>
              </w:rPr>
            </w:pPr>
          </w:p>
          <w:tbl>
            <w:tblPr>
              <w:tblStyle w:val="TableGrid"/>
              <w:tblW w:w="0" w:type="auto"/>
              <w:tblLook w:val="04A0" w:firstRow="1" w:lastRow="0" w:firstColumn="1" w:lastColumn="0" w:noHBand="0" w:noVBand="1"/>
            </w:tblPr>
            <w:tblGrid>
              <w:gridCol w:w="1157"/>
              <w:gridCol w:w="1400"/>
              <w:gridCol w:w="2381"/>
              <w:gridCol w:w="1776"/>
              <w:gridCol w:w="980"/>
              <w:gridCol w:w="1199"/>
            </w:tblGrid>
            <w:tr w:rsidR="0007740A" w:rsidRPr="00036409" w14:paraId="5C46B91E" w14:textId="5758F5B5" w:rsidTr="0007740A">
              <w:tc>
                <w:tcPr>
                  <w:tcW w:w="1157" w:type="dxa"/>
                </w:tcPr>
                <w:p w14:paraId="4D93F86C" w14:textId="46E39BC8" w:rsidR="0007740A" w:rsidRPr="00036409" w:rsidRDefault="0007740A" w:rsidP="003E7641">
                  <w:pPr>
                    <w:tabs>
                      <w:tab w:val="right" w:pos="6732"/>
                    </w:tabs>
                    <w:rPr>
                      <w:rFonts w:cstheme="minorHAnsi"/>
                      <w:sz w:val="20"/>
                      <w:szCs w:val="20"/>
                    </w:rPr>
                  </w:pPr>
                  <w:r w:rsidRPr="00036409">
                    <w:rPr>
                      <w:rFonts w:cstheme="minorHAnsi"/>
                      <w:sz w:val="20"/>
                      <w:szCs w:val="20"/>
                    </w:rPr>
                    <w:t>SDG</w:t>
                  </w:r>
                  <w:r>
                    <w:rPr>
                      <w:rFonts w:cstheme="minorHAnsi"/>
                      <w:sz w:val="20"/>
                      <w:szCs w:val="20"/>
                    </w:rPr>
                    <w:t>&amp;</w:t>
                  </w:r>
                  <w:r w:rsidRPr="00036409">
                    <w:rPr>
                      <w:rFonts w:cstheme="minorHAnsi"/>
                      <w:sz w:val="20"/>
                      <w:szCs w:val="20"/>
                    </w:rPr>
                    <w:t xml:space="preserve">E </w:t>
                  </w:r>
                </w:p>
                <w:p w14:paraId="40AE38C0" w14:textId="5EF946DE" w:rsidR="0007740A" w:rsidRPr="00036409" w:rsidRDefault="0007740A" w:rsidP="003E7641">
                  <w:pPr>
                    <w:tabs>
                      <w:tab w:val="right" w:pos="6732"/>
                    </w:tabs>
                    <w:rPr>
                      <w:rFonts w:cstheme="minorHAnsi"/>
                      <w:sz w:val="20"/>
                      <w:szCs w:val="20"/>
                    </w:rPr>
                  </w:pPr>
                  <w:r>
                    <w:rPr>
                      <w:rFonts w:cstheme="minorHAnsi"/>
                      <w:sz w:val="20"/>
                      <w:szCs w:val="20"/>
                    </w:rPr>
                    <w:t>Implem</w:t>
                  </w:r>
                  <w:r w:rsidRPr="00036409">
                    <w:rPr>
                      <w:rFonts w:cstheme="minorHAnsi"/>
                      <w:sz w:val="20"/>
                      <w:szCs w:val="20"/>
                    </w:rPr>
                    <w:t>ID</w:t>
                  </w:r>
                  <w:r>
                    <w:rPr>
                      <w:rFonts w:cstheme="minorHAnsi"/>
                      <w:sz w:val="20"/>
                      <w:szCs w:val="20"/>
                    </w:rPr>
                    <w:t xml:space="preserve"> for Mid-Stream (PreRebUp)</w:t>
                  </w:r>
                </w:p>
              </w:tc>
              <w:tc>
                <w:tcPr>
                  <w:tcW w:w="1400" w:type="dxa"/>
                </w:tcPr>
                <w:p w14:paraId="41D1B776" w14:textId="77777777" w:rsidR="0007740A" w:rsidRPr="00036409" w:rsidRDefault="0007740A" w:rsidP="004E4B24">
                  <w:pPr>
                    <w:tabs>
                      <w:tab w:val="right" w:pos="6732"/>
                    </w:tabs>
                    <w:rPr>
                      <w:rFonts w:cstheme="minorHAnsi"/>
                      <w:sz w:val="20"/>
                      <w:szCs w:val="20"/>
                    </w:rPr>
                  </w:pPr>
                  <w:r w:rsidRPr="00036409">
                    <w:rPr>
                      <w:rFonts w:cstheme="minorHAnsi"/>
                      <w:sz w:val="20"/>
                      <w:szCs w:val="20"/>
                    </w:rPr>
                    <w:t xml:space="preserve">SDGE </w:t>
                  </w:r>
                </w:p>
                <w:p w14:paraId="15B49576" w14:textId="0D3FB106" w:rsidR="0007740A" w:rsidRDefault="0007740A" w:rsidP="004E4B24">
                  <w:pPr>
                    <w:tabs>
                      <w:tab w:val="right" w:pos="6732"/>
                    </w:tabs>
                    <w:rPr>
                      <w:rFonts w:cstheme="minorHAnsi"/>
                      <w:sz w:val="20"/>
                      <w:szCs w:val="20"/>
                    </w:rPr>
                  </w:pPr>
                  <w:r>
                    <w:rPr>
                      <w:rFonts w:cstheme="minorHAnsi"/>
                      <w:sz w:val="20"/>
                      <w:szCs w:val="20"/>
                    </w:rPr>
                    <w:t>Implem</w:t>
                  </w:r>
                  <w:r w:rsidRPr="00036409">
                    <w:rPr>
                      <w:rFonts w:cstheme="minorHAnsi"/>
                      <w:sz w:val="20"/>
                      <w:szCs w:val="20"/>
                    </w:rPr>
                    <w:t>ID</w:t>
                  </w:r>
                  <w:r>
                    <w:rPr>
                      <w:rFonts w:cstheme="minorHAnsi"/>
                      <w:sz w:val="20"/>
                      <w:szCs w:val="20"/>
                    </w:rPr>
                    <w:t xml:space="preserve"> for BES program (PreRebDown)</w:t>
                  </w:r>
                </w:p>
              </w:tc>
              <w:tc>
                <w:tcPr>
                  <w:tcW w:w="2668" w:type="dxa"/>
                </w:tcPr>
                <w:p w14:paraId="7941EB14" w14:textId="2F1207A1" w:rsidR="0007740A" w:rsidRDefault="0007740A" w:rsidP="003E7641">
                  <w:pPr>
                    <w:tabs>
                      <w:tab w:val="right" w:pos="6732"/>
                    </w:tabs>
                    <w:rPr>
                      <w:rFonts w:cstheme="minorHAnsi"/>
                      <w:sz w:val="20"/>
                      <w:szCs w:val="20"/>
                    </w:rPr>
                  </w:pPr>
                  <w:r>
                    <w:rPr>
                      <w:rFonts w:cstheme="minorHAnsi"/>
                      <w:sz w:val="20"/>
                      <w:szCs w:val="20"/>
                    </w:rPr>
                    <w:t>DEER Measure Description</w:t>
                  </w:r>
                </w:p>
              </w:tc>
              <w:tc>
                <w:tcPr>
                  <w:tcW w:w="1440" w:type="dxa"/>
                </w:tcPr>
                <w:p w14:paraId="76C3FEB4" w14:textId="119416F8" w:rsidR="0007740A" w:rsidRPr="00036409" w:rsidRDefault="0007740A" w:rsidP="003E7641">
                  <w:pPr>
                    <w:tabs>
                      <w:tab w:val="right" w:pos="6732"/>
                    </w:tabs>
                    <w:rPr>
                      <w:rFonts w:cstheme="minorHAnsi"/>
                      <w:sz w:val="20"/>
                      <w:szCs w:val="20"/>
                    </w:rPr>
                  </w:pPr>
                  <w:r>
                    <w:rPr>
                      <w:rFonts w:cstheme="minorHAnsi"/>
                      <w:sz w:val="20"/>
                      <w:szCs w:val="20"/>
                    </w:rPr>
                    <w:t xml:space="preserve">DEER Measure </w:t>
                  </w:r>
                  <w:r w:rsidRPr="00036409">
                    <w:rPr>
                      <w:rFonts w:cstheme="minorHAnsi"/>
                      <w:sz w:val="20"/>
                      <w:szCs w:val="20"/>
                    </w:rPr>
                    <w:t>Cost ID</w:t>
                  </w:r>
                </w:p>
              </w:tc>
              <w:tc>
                <w:tcPr>
                  <w:tcW w:w="990" w:type="dxa"/>
                </w:tcPr>
                <w:p w14:paraId="580F413D" w14:textId="09646ADA" w:rsidR="0007740A" w:rsidRPr="00036409" w:rsidRDefault="0007740A" w:rsidP="004E4B24">
                  <w:pPr>
                    <w:tabs>
                      <w:tab w:val="right" w:pos="6732"/>
                    </w:tabs>
                    <w:rPr>
                      <w:rFonts w:cstheme="minorHAnsi"/>
                      <w:sz w:val="20"/>
                      <w:szCs w:val="20"/>
                    </w:rPr>
                  </w:pPr>
                  <w:r>
                    <w:rPr>
                      <w:rFonts w:cstheme="minorHAnsi"/>
                      <w:sz w:val="20"/>
                      <w:szCs w:val="20"/>
                    </w:rPr>
                    <w:t>Full Measure (FMC)</w:t>
                  </w:r>
                </w:p>
              </w:tc>
              <w:tc>
                <w:tcPr>
                  <w:tcW w:w="1199" w:type="dxa"/>
                </w:tcPr>
                <w:p w14:paraId="0AD7145F" w14:textId="183A95F2" w:rsidR="0007740A" w:rsidRDefault="0007740A" w:rsidP="003E7641">
                  <w:pPr>
                    <w:tabs>
                      <w:tab w:val="right" w:pos="6732"/>
                    </w:tabs>
                    <w:rPr>
                      <w:rFonts w:cstheme="minorHAnsi"/>
                      <w:sz w:val="20"/>
                      <w:szCs w:val="20"/>
                    </w:rPr>
                  </w:pPr>
                  <w:r>
                    <w:rPr>
                      <w:rFonts w:cstheme="minorHAnsi"/>
                      <w:sz w:val="20"/>
                      <w:szCs w:val="20"/>
                    </w:rPr>
                    <w:t>Incremental Measure Cost (IMC)</w:t>
                  </w:r>
                </w:p>
              </w:tc>
            </w:tr>
            <w:tr w:rsidR="0007740A" w:rsidRPr="00036409" w14:paraId="26E80C09" w14:textId="78353E66" w:rsidTr="0007740A">
              <w:tc>
                <w:tcPr>
                  <w:tcW w:w="1157" w:type="dxa"/>
                  <w:vAlign w:val="bottom"/>
                </w:tcPr>
                <w:p w14:paraId="2038ACAF" w14:textId="3BEC51B7" w:rsidR="0007740A" w:rsidRPr="00036409" w:rsidRDefault="0007740A" w:rsidP="0007740A">
                  <w:pPr>
                    <w:tabs>
                      <w:tab w:val="right" w:pos="6732"/>
                    </w:tabs>
                    <w:rPr>
                      <w:rFonts w:cstheme="minorHAnsi"/>
                      <w:sz w:val="20"/>
                      <w:szCs w:val="20"/>
                    </w:rPr>
                  </w:pPr>
                  <w:bookmarkStart w:id="7" w:name="_Hlk494376700"/>
                  <w:r w:rsidRPr="0091074F">
                    <w:rPr>
                      <w:rFonts w:ascii="Calibri" w:hAnsi="Calibri"/>
                      <w:color w:val="000000"/>
                      <w:sz w:val="20"/>
                      <w:szCs w:val="20"/>
                    </w:rPr>
                    <w:t>465243</w:t>
                  </w:r>
                </w:p>
              </w:tc>
              <w:tc>
                <w:tcPr>
                  <w:tcW w:w="1400" w:type="dxa"/>
                  <w:vAlign w:val="bottom"/>
                </w:tcPr>
                <w:p w14:paraId="2FC0429B" w14:textId="7407A9A7" w:rsidR="0007740A" w:rsidRPr="00036409" w:rsidRDefault="0007740A" w:rsidP="0007740A">
                  <w:pPr>
                    <w:tabs>
                      <w:tab w:val="right" w:pos="6732"/>
                    </w:tabs>
                    <w:rPr>
                      <w:rFonts w:cstheme="minorHAnsi"/>
                      <w:sz w:val="20"/>
                      <w:szCs w:val="20"/>
                    </w:rPr>
                  </w:pPr>
                  <w:r w:rsidRPr="0091074F">
                    <w:rPr>
                      <w:rFonts w:ascii="Calibri" w:hAnsi="Calibri"/>
                      <w:color w:val="000000"/>
                      <w:sz w:val="20"/>
                      <w:szCs w:val="20"/>
                    </w:rPr>
                    <w:t>465261</w:t>
                  </w:r>
                </w:p>
              </w:tc>
              <w:tc>
                <w:tcPr>
                  <w:tcW w:w="2668" w:type="dxa"/>
                  <w:tcBorders>
                    <w:top w:val="single" w:sz="4" w:space="0" w:color="auto"/>
                    <w:left w:val="single" w:sz="4" w:space="0" w:color="auto"/>
                    <w:bottom w:val="single" w:sz="4" w:space="0" w:color="auto"/>
                    <w:right w:val="single" w:sz="4" w:space="0" w:color="auto"/>
                  </w:tcBorders>
                  <w:shd w:val="clear" w:color="000000" w:fill="FFFFFF"/>
                  <w:vAlign w:val="bottom"/>
                </w:tcPr>
                <w:p w14:paraId="5407BE09" w14:textId="2580E701" w:rsidR="0007740A" w:rsidRDefault="0007740A" w:rsidP="0007740A">
                  <w:pPr>
                    <w:tabs>
                      <w:tab w:val="right" w:pos="6732"/>
                    </w:tabs>
                    <w:rPr>
                      <w:rFonts w:ascii="Calibri" w:hAnsi="Calibri"/>
                      <w:color w:val="000000"/>
                      <w:szCs w:val="22"/>
                    </w:rPr>
                  </w:pPr>
                  <w:r>
                    <w:rPr>
                      <w:rFonts w:ascii="Calibri" w:hAnsi="Calibri"/>
                      <w:color w:val="000000"/>
                      <w:sz w:val="20"/>
                      <w:szCs w:val="20"/>
                    </w:rPr>
                    <w:t>LED Fixture: High/Low Bay, 110 LPW to &lt;130 LPW, 0 to &lt;48 W</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14:paraId="394587EC" w14:textId="240E4F5F" w:rsidR="0007740A" w:rsidRPr="00036409" w:rsidRDefault="0007740A" w:rsidP="0007740A">
                  <w:pPr>
                    <w:tabs>
                      <w:tab w:val="right" w:pos="6732"/>
                    </w:tabs>
                    <w:rPr>
                      <w:rFonts w:cstheme="minorHAnsi"/>
                      <w:sz w:val="20"/>
                      <w:szCs w:val="20"/>
                    </w:rPr>
                  </w:pPr>
                  <w:r>
                    <w:rPr>
                      <w:rFonts w:ascii="Calibri" w:hAnsi="Calibri"/>
                      <w:color w:val="000000"/>
                      <w:szCs w:val="22"/>
                    </w:rPr>
                    <w:t>LEDFixt(47.99w)</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tcPr>
                <w:p w14:paraId="3B7C341D" w14:textId="61169B94" w:rsidR="0007740A" w:rsidRPr="00036409" w:rsidRDefault="0007740A" w:rsidP="0007740A">
                  <w:pPr>
                    <w:tabs>
                      <w:tab w:val="right" w:pos="6732"/>
                    </w:tabs>
                    <w:rPr>
                      <w:rFonts w:cstheme="minorHAnsi"/>
                      <w:sz w:val="20"/>
                      <w:szCs w:val="20"/>
                    </w:rPr>
                  </w:pPr>
                  <w:r>
                    <w:rPr>
                      <w:rFonts w:ascii="Calibri" w:hAnsi="Calibri"/>
                      <w:color w:val="000000"/>
                      <w:szCs w:val="22"/>
                    </w:rPr>
                    <w:t xml:space="preserve"> $ 13.33 </w:t>
                  </w:r>
                </w:p>
              </w:tc>
              <w:tc>
                <w:tcPr>
                  <w:tcW w:w="1199" w:type="dxa"/>
                  <w:tcBorders>
                    <w:top w:val="single" w:sz="4" w:space="0" w:color="auto"/>
                    <w:left w:val="single" w:sz="4" w:space="0" w:color="auto"/>
                    <w:bottom w:val="single" w:sz="4" w:space="0" w:color="auto"/>
                    <w:right w:val="single" w:sz="4" w:space="0" w:color="auto"/>
                  </w:tcBorders>
                  <w:shd w:val="clear" w:color="auto" w:fill="auto"/>
                  <w:vAlign w:val="bottom"/>
                </w:tcPr>
                <w:p w14:paraId="2DA7D09B" w14:textId="3624D421" w:rsidR="0007740A" w:rsidRDefault="0007740A" w:rsidP="0007740A">
                  <w:pPr>
                    <w:tabs>
                      <w:tab w:val="right" w:pos="6732"/>
                    </w:tabs>
                    <w:rPr>
                      <w:rFonts w:cstheme="minorHAnsi"/>
                      <w:sz w:val="20"/>
                      <w:szCs w:val="20"/>
                    </w:rPr>
                  </w:pPr>
                  <w:r>
                    <w:rPr>
                      <w:rFonts w:ascii="Calibri" w:hAnsi="Calibri"/>
                      <w:color w:val="000000"/>
                      <w:szCs w:val="22"/>
                    </w:rPr>
                    <w:t xml:space="preserve"> $ 13.33 </w:t>
                  </w:r>
                </w:p>
              </w:tc>
            </w:tr>
            <w:tr w:rsidR="0007740A" w:rsidRPr="00036409" w14:paraId="2E1B1A27" w14:textId="19FAA666" w:rsidTr="0007740A">
              <w:tc>
                <w:tcPr>
                  <w:tcW w:w="1157" w:type="dxa"/>
                  <w:vAlign w:val="bottom"/>
                </w:tcPr>
                <w:p w14:paraId="2F228465" w14:textId="65045324" w:rsidR="0007740A" w:rsidRPr="00036409" w:rsidRDefault="0007740A" w:rsidP="0007740A">
                  <w:pPr>
                    <w:tabs>
                      <w:tab w:val="right" w:pos="6732"/>
                    </w:tabs>
                    <w:rPr>
                      <w:rFonts w:cstheme="minorHAnsi"/>
                      <w:sz w:val="20"/>
                      <w:szCs w:val="20"/>
                    </w:rPr>
                  </w:pPr>
                  <w:r w:rsidRPr="0091074F">
                    <w:rPr>
                      <w:rFonts w:ascii="Calibri" w:hAnsi="Calibri"/>
                      <w:color w:val="000000"/>
                      <w:sz w:val="20"/>
                      <w:szCs w:val="20"/>
                    </w:rPr>
                    <w:t>465244</w:t>
                  </w:r>
                </w:p>
              </w:tc>
              <w:tc>
                <w:tcPr>
                  <w:tcW w:w="1400" w:type="dxa"/>
                  <w:vAlign w:val="bottom"/>
                </w:tcPr>
                <w:p w14:paraId="1FF9EC30" w14:textId="71F6866F" w:rsidR="0007740A" w:rsidRPr="00036409" w:rsidRDefault="0007740A" w:rsidP="0007740A">
                  <w:pPr>
                    <w:tabs>
                      <w:tab w:val="right" w:pos="6732"/>
                    </w:tabs>
                    <w:rPr>
                      <w:rFonts w:cstheme="minorHAnsi"/>
                      <w:sz w:val="20"/>
                      <w:szCs w:val="20"/>
                    </w:rPr>
                  </w:pPr>
                  <w:r w:rsidRPr="0091074F">
                    <w:rPr>
                      <w:rFonts w:ascii="Calibri" w:hAnsi="Calibri"/>
                      <w:color w:val="000000"/>
                      <w:sz w:val="20"/>
                      <w:szCs w:val="20"/>
                    </w:rPr>
                    <w:t>465262</w:t>
                  </w:r>
                </w:p>
              </w:tc>
              <w:tc>
                <w:tcPr>
                  <w:tcW w:w="2668" w:type="dxa"/>
                  <w:tcBorders>
                    <w:top w:val="nil"/>
                    <w:left w:val="single" w:sz="4" w:space="0" w:color="auto"/>
                    <w:bottom w:val="single" w:sz="4" w:space="0" w:color="auto"/>
                    <w:right w:val="single" w:sz="4" w:space="0" w:color="auto"/>
                  </w:tcBorders>
                  <w:shd w:val="clear" w:color="000000" w:fill="FFFFFF"/>
                  <w:vAlign w:val="bottom"/>
                </w:tcPr>
                <w:p w14:paraId="2D792A88" w14:textId="5D2AE894" w:rsidR="0007740A" w:rsidRDefault="0007740A" w:rsidP="0007740A">
                  <w:pPr>
                    <w:tabs>
                      <w:tab w:val="right" w:pos="6732"/>
                    </w:tabs>
                    <w:rPr>
                      <w:rFonts w:ascii="Calibri" w:hAnsi="Calibri"/>
                      <w:color w:val="000000"/>
                      <w:szCs w:val="22"/>
                    </w:rPr>
                  </w:pPr>
                  <w:r>
                    <w:rPr>
                      <w:rFonts w:ascii="Calibri" w:hAnsi="Calibri"/>
                      <w:color w:val="000000"/>
                      <w:sz w:val="20"/>
                      <w:szCs w:val="20"/>
                    </w:rPr>
                    <w:t>LED Fixture: High/Low Bay, 110 LPW to &lt;130 LPW, 48 to &lt;71 W</w:t>
                  </w:r>
                </w:p>
              </w:tc>
              <w:tc>
                <w:tcPr>
                  <w:tcW w:w="1440" w:type="dxa"/>
                  <w:tcBorders>
                    <w:top w:val="nil"/>
                    <w:left w:val="single" w:sz="4" w:space="0" w:color="auto"/>
                    <w:bottom w:val="single" w:sz="4" w:space="0" w:color="auto"/>
                    <w:right w:val="single" w:sz="4" w:space="0" w:color="auto"/>
                  </w:tcBorders>
                  <w:shd w:val="clear" w:color="auto" w:fill="auto"/>
                  <w:vAlign w:val="bottom"/>
                </w:tcPr>
                <w:p w14:paraId="5A3DE956" w14:textId="6A0719E4" w:rsidR="0007740A" w:rsidRPr="00036409" w:rsidRDefault="0007740A" w:rsidP="0007740A">
                  <w:pPr>
                    <w:tabs>
                      <w:tab w:val="right" w:pos="6732"/>
                    </w:tabs>
                    <w:rPr>
                      <w:rFonts w:cstheme="minorHAnsi"/>
                      <w:sz w:val="20"/>
                      <w:szCs w:val="20"/>
                    </w:rPr>
                  </w:pPr>
                  <w:r>
                    <w:rPr>
                      <w:rFonts w:ascii="Calibri" w:hAnsi="Calibri"/>
                      <w:color w:val="000000"/>
                      <w:szCs w:val="22"/>
                    </w:rPr>
                    <w:t>LEDFixt(70.99w)</w:t>
                  </w:r>
                </w:p>
              </w:tc>
              <w:tc>
                <w:tcPr>
                  <w:tcW w:w="990" w:type="dxa"/>
                  <w:tcBorders>
                    <w:top w:val="nil"/>
                    <w:left w:val="single" w:sz="4" w:space="0" w:color="auto"/>
                    <w:bottom w:val="single" w:sz="4" w:space="0" w:color="auto"/>
                    <w:right w:val="single" w:sz="4" w:space="0" w:color="auto"/>
                  </w:tcBorders>
                  <w:shd w:val="clear" w:color="auto" w:fill="auto"/>
                  <w:vAlign w:val="bottom"/>
                </w:tcPr>
                <w:p w14:paraId="142D6F7F" w14:textId="3B5B587A" w:rsidR="0007740A" w:rsidRPr="00036409" w:rsidRDefault="0007740A" w:rsidP="0007740A">
                  <w:pPr>
                    <w:tabs>
                      <w:tab w:val="right" w:pos="6732"/>
                    </w:tabs>
                    <w:rPr>
                      <w:rFonts w:cstheme="minorHAnsi"/>
                      <w:sz w:val="20"/>
                      <w:szCs w:val="20"/>
                    </w:rPr>
                  </w:pPr>
                  <w:r>
                    <w:rPr>
                      <w:rFonts w:ascii="Calibri" w:hAnsi="Calibri"/>
                      <w:color w:val="000000"/>
                      <w:szCs w:val="22"/>
                    </w:rPr>
                    <w:t xml:space="preserve"> $ 16.67 </w:t>
                  </w:r>
                </w:p>
              </w:tc>
              <w:tc>
                <w:tcPr>
                  <w:tcW w:w="1199" w:type="dxa"/>
                  <w:tcBorders>
                    <w:top w:val="nil"/>
                    <w:left w:val="single" w:sz="4" w:space="0" w:color="auto"/>
                    <w:bottom w:val="single" w:sz="4" w:space="0" w:color="auto"/>
                    <w:right w:val="single" w:sz="4" w:space="0" w:color="auto"/>
                  </w:tcBorders>
                  <w:shd w:val="clear" w:color="auto" w:fill="auto"/>
                  <w:vAlign w:val="bottom"/>
                </w:tcPr>
                <w:p w14:paraId="3FCE5399" w14:textId="58C3DDBC" w:rsidR="0007740A" w:rsidRDefault="0007740A" w:rsidP="0007740A">
                  <w:pPr>
                    <w:tabs>
                      <w:tab w:val="right" w:pos="6732"/>
                    </w:tabs>
                    <w:rPr>
                      <w:rFonts w:cstheme="minorHAnsi"/>
                      <w:sz w:val="20"/>
                      <w:szCs w:val="20"/>
                    </w:rPr>
                  </w:pPr>
                  <w:r>
                    <w:rPr>
                      <w:rFonts w:ascii="Calibri" w:hAnsi="Calibri"/>
                      <w:color w:val="000000"/>
                      <w:szCs w:val="22"/>
                    </w:rPr>
                    <w:t xml:space="preserve"> $ 16.67 </w:t>
                  </w:r>
                </w:p>
              </w:tc>
            </w:tr>
            <w:tr w:rsidR="0007740A" w:rsidRPr="00036409" w14:paraId="7E2DF6B2" w14:textId="6969E56D" w:rsidTr="0007740A">
              <w:tc>
                <w:tcPr>
                  <w:tcW w:w="1157" w:type="dxa"/>
                  <w:vAlign w:val="bottom"/>
                </w:tcPr>
                <w:p w14:paraId="60C71ACA" w14:textId="199041EB" w:rsidR="0007740A" w:rsidRPr="00036409" w:rsidRDefault="0007740A" w:rsidP="0007740A">
                  <w:pPr>
                    <w:tabs>
                      <w:tab w:val="right" w:pos="6732"/>
                    </w:tabs>
                    <w:rPr>
                      <w:rFonts w:cstheme="minorHAnsi"/>
                      <w:sz w:val="20"/>
                      <w:szCs w:val="20"/>
                    </w:rPr>
                  </w:pPr>
                  <w:r w:rsidRPr="0091074F">
                    <w:rPr>
                      <w:rFonts w:ascii="Calibri" w:hAnsi="Calibri"/>
                      <w:color w:val="000000"/>
                      <w:sz w:val="20"/>
                      <w:szCs w:val="20"/>
                    </w:rPr>
                    <w:t>465245</w:t>
                  </w:r>
                </w:p>
              </w:tc>
              <w:tc>
                <w:tcPr>
                  <w:tcW w:w="1400" w:type="dxa"/>
                  <w:vAlign w:val="bottom"/>
                </w:tcPr>
                <w:p w14:paraId="6A118A2E" w14:textId="4E3D95EF" w:rsidR="0007740A" w:rsidRPr="00036409" w:rsidRDefault="0007740A" w:rsidP="0007740A">
                  <w:pPr>
                    <w:tabs>
                      <w:tab w:val="right" w:pos="6732"/>
                    </w:tabs>
                    <w:rPr>
                      <w:rFonts w:cstheme="minorHAnsi"/>
                      <w:sz w:val="20"/>
                      <w:szCs w:val="20"/>
                    </w:rPr>
                  </w:pPr>
                  <w:r w:rsidRPr="0091074F">
                    <w:rPr>
                      <w:rFonts w:ascii="Calibri" w:hAnsi="Calibri"/>
                      <w:color w:val="000000"/>
                      <w:sz w:val="20"/>
                      <w:szCs w:val="20"/>
                    </w:rPr>
                    <w:t>465263</w:t>
                  </w:r>
                </w:p>
              </w:tc>
              <w:tc>
                <w:tcPr>
                  <w:tcW w:w="2668" w:type="dxa"/>
                  <w:tcBorders>
                    <w:top w:val="nil"/>
                    <w:left w:val="single" w:sz="4" w:space="0" w:color="auto"/>
                    <w:bottom w:val="single" w:sz="4" w:space="0" w:color="auto"/>
                    <w:right w:val="single" w:sz="4" w:space="0" w:color="auto"/>
                  </w:tcBorders>
                  <w:shd w:val="clear" w:color="000000" w:fill="FFFFFF"/>
                  <w:vAlign w:val="bottom"/>
                </w:tcPr>
                <w:p w14:paraId="54478893" w14:textId="52296017" w:rsidR="0007740A" w:rsidRDefault="0007740A" w:rsidP="0007740A">
                  <w:pPr>
                    <w:tabs>
                      <w:tab w:val="right" w:pos="6732"/>
                    </w:tabs>
                    <w:rPr>
                      <w:rFonts w:ascii="Calibri" w:hAnsi="Calibri"/>
                      <w:color w:val="000000"/>
                      <w:szCs w:val="22"/>
                    </w:rPr>
                  </w:pPr>
                  <w:r>
                    <w:rPr>
                      <w:rFonts w:ascii="Calibri" w:hAnsi="Calibri"/>
                      <w:color w:val="000000"/>
                      <w:sz w:val="20"/>
                      <w:szCs w:val="20"/>
                    </w:rPr>
                    <w:t>LED Fixture: High/Low Bay, 110 LPW to &lt;130 LPW, 71 to &lt;90 W</w:t>
                  </w:r>
                </w:p>
              </w:tc>
              <w:tc>
                <w:tcPr>
                  <w:tcW w:w="1440" w:type="dxa"/>
                  <w:tcBorders>
                    <w:top w:val="nil"/>
                    <w:left w:val="single" w:sz="4" w:space="0" w:color="auto"/>
                    <w:bottom w:val="single" w:sz="4" w:space="0" w:color="auto"/>
                    <w:right w:val="single" w:sz="4" w:space="0" w:color="auto"/>
                  </w:tcBorders>
                  <w:shd w:val="clear" w:color="auto" w:fill="auto"/>
                  <w:vAlign w:val="bottom"/>
                </w:tcPr>
                <w:p w14:paraId="515BA24E" w14:textId="260CCDFF" w:rsidR="0007740A" w:rsidRPr="00036409" w:rsidRDefault="0007740A" w:rsidP="0007740A">
                  <w:pPr>
                    <w:tabs>
                      <w:tab w:val="right" w:pos="6732"/>
                    </w:tabs>
                    <w:rPr>
                      <w:rFonts w:cstheme="minorHAnsi"/>
                      <w:sz w:val="20"/>
                      <w:szCs w:val="20"/>
                    </w:rPr>
                  </w:pPr>
                  <w:r>
                    <w:rPr>
                      <w:rFonts w:ascii="Calibri" w:hAnsi="Calibri"/>
                      <w:color w:val="000000"/>
                      <w:szCs w:val="22"/>
                    </w:rPr>
                    <w:t>LEDFixt(89.99w)</w:t>
                  </w:r>
                </w:p>
              </w:tc>
              <w:tc>
                <w:tcPr>
                  <w:tcW w:w="990" w:type="dxa"/>
                  <w:tcBorders>
                    <w:top w:val="nil"/>
                    <w:left w:val="single" w:sz="4" w:space="0" w:color="auto"/>
                    <w:bottom w:val="single" w:sz="4" w:space="0" w:color="auto"/>
                    <w:right w:val="single" w:sz="4" w:space="0" w:color="auto"/>
                  </w:tcBorders>
                  <w:shd w:val="clear" w:color="auto" w:fill="auto"/>
                  <w:vAlign w:val="bottom"/>
                </w:tcPr>
                <w:p w14:paraId="436E6BE5" w14:textId="3A5E26BF" w:rsidR="0007740A" w:rsidRPr="00036409" w:rsidRDefault="0007740A" w:rsidP="0007740A">
                  <w:pPr>
                    <w:tabs>
                      <w:tab w:val="right" w:pos="6732"/>
                    </w:tabs>
                    <w:rPr>
                      <w:rFonts w:cstheme="minorHAnsi"/>
                      <w:sz w:val="20"/>
                      <w:szCs w:val="20"/>
                    </w:rPr>
                  </w:pPr>
                  <w:r>
                    <w:rPr>
                      <w:rFonts w:ascii="Calibri" w:hAnsi="Calibri"/>
                      <w:color w:val="000000"/>
                      <w:szCs w:val="22"/>
                    </w:rPr>
                    <w:t xml:space="preserve"> $ 20.00 </w:t>
                  </w:r>
                </w:p>
              </w:tc>
              <w:tc>
                <w:tcPr>
                  <w:tcW w:w="1199" w:type="dxa"/>
                  <w:tcBorders>
                    <w:top w:val="nil"/>
                    <w:left w:val="single" w:sz="4" w:space="0" w:color="auto"/>
                    <w:bottom w:val="single" w:sz="4" w:space="0" w:color="auto"/>
                    <w:right w:val="single" w:sz="4" w:space="0" w:color="auto"/>
                  </w:tcBorders>
                  <w:shd w:val="clear" w:color="auto" w:fill="auto"/>
                  <w:vAlign w:val="bottom"/>
                </w:tcPr>
                <w:p w14:paraId="1E93866D" w14:textId="16C08926" w:rsidR="0007740A" w:rsidRPr="00E07FAA" w:rsidRDefault="0007740A" w:rsidP="0007740A">
                  <w:pPr>
                    <w:tabs>
                      <w:tab w:val="right" w:pos="6732"/>
                    </w:tabs>
                    <w:rPr>
                      <w:rFonts w:cstheme="minorHAnsi"/>
                      <w:sz w:val="20"/>
                      <w:szCs w:val="20"/>
                    </w:rPr>
                  </w:pPr>
                  <w:r>
                    <w:rPr>
                      <w:rFonts w:ascii="Calibri" w:hAnsi="Calibri"/>
                      <w:color w:val="000000"/>
                      <w:szCs w:val="22"/>
                    </w:rPr>
                    <w:t xml:space="preserve"> $ 20.00 </w:t>
                  </w:r>
                </w:p>
              </w:tc>
            </w:tr>
            <w:tr w:rsidR="0007740A" w:rsidRPr="00036409" w14:paraId="00DAAA08" w14:textId="1C98D8CB" w:rsidTr="0007740A">
              <w:tc>
                <w:tcPr>
                  <w:tcW w:w="1157" w:type="dxa"/>
                  <w:vAlign w:val="bottom"/>
                </w:tcPr>
                <w:p w14:paraId="445E07F2" w14:textId="2BADC931" w:rsidR="0007740A" w:rsidRPr="00036409" w:rsidRDefault="0007740A" w:rsidP="0007740A">
                  <w:pPr>
                    <w:tabs>
                      <w:tab w:val="right" w:pos="6732"/>
                    </w:tabs>
                    <w:rPr>
                      <w:rFonts w:cstheme="minorHAnsi"/>
                      <w:sz w:val="20"/>
                      <w:szCs w:val="20"/>
                    </w:rPr>
                  </w:pPr>
                  <w:r w:rsidRPr="0091074F">
                    <w:rPr>
                      <w:rFonts w:ascii="Calibri" w:hAnsi="Calibri"/>
                      <w:color w:val="000000"/>
                      <w:sz w:val="20"/>
                      <w:szCs w:val="20"/>
                    </w:rPr>
                    <w:t>465246</w:t>
                  </w:r>
                </w:p>
              </w:tc>
              <w:tc>
                <w:tcPr>
                  <w:tcW w:w="1400" w:type="dxa"/>
                  <w:vAlign w:val="bottom"/>
                </w:tcPr>
                <w:p w14:paraId="31DD2389" w14:textId="450C2EB3" w:rsidR="0007740A" w:rsidRPr="00036409" w:rsidRDefault="0007740A" w:rsidP="0007740A">
                  <w:pPr>
                    <w:tabs>
                      <w:tab w:val="right" w:pos="6732"/>
                    </w:tabs>
                    <w:rPr>
                      <w:rFonts w:cstheme="minorHAnsi"/>
                      <w:sz w:val="20"/>
                      <w:szCs w:val="20"/>
                    </w:rPr>
                  </w:pPr>
                  <w:r w:rsidRPr="0091074F">
                    <w:rPr>
                      <w:rFonts w:ascii="Calibri" w:hAnsi="Calibri"/>
                      <w:color w:val="000000"/>
                      <w:sz w:val="20"/>
                      <w:szCs w:val="20"/>
                    </w:rPr>
                    <w:t>465264</w:t>
                  </w:r>
                </w:p>
              </w:tc>
              <w:tc>
                <w:tcPr>
                  <w:tcW w:w="2668" w:type="dxa"/>
                  <w:tcBorders>
                    <w:top w:val="nil"/>
                    <w:left w:val="single" w:sz="4" w:space="0" w:color="auto"/>
                    <w:bottom w:val="single" w:sz="4" w:space="0" w:color="auto"/>
                    <w:right w:val="single" w:sz="4" w:space="0" w:color="auto"/>
                  </w:tcBorders>
                  <w:shd w:val="clear" w:color="000000" w:fill="FFFFFF"/>
                  <w:vAlign w:val="bottom"/>
                </w:tcPr>
                <w:p w14:paraId="43C188DF" w14:textId="18582288" w:rsidR="0007740A" w:rsidRDefault="0007740A" w:rsidP="0007740A">
                  <w:pPr>
                    <w:tabs>
                      <w:tab w:val="right" w:pos="6732"/>
                    </w:tabs>
                    <w:rPr>
                      <w:rFonts w:ascii="Calibri" w:hAnsi="Calibri"/>
                      <w:color w:val="000000"/>
                      <w:szCs w:val="22"/>
                    </w:rPr>
                  </w:pPr>
                  <w:r>
                    <w:rPr>
                      <w:rFonts w:ascii="Calibri" w:hAnsi="Calibri"/>
                      <w:color w:val="000000"/>
                      <w:sz w:val="20"/>
                      <w:szCs w:val="20"/>
                    </w:rPr>
                    <w:t>LED Fixture: High/Low Bay, 120 LPW to &lt;130 LPW, 90 to &lt;125 W</w:t>
                  </w:r>
                </w:p>
              </w:tc>
              <w:tc>
                <w:tcPr>
                  <w:tcW w:w="1440" w:type="dxa"/>
                  <w:tcBorders>
                    <w:top w:val="nil"/>
                    <w:left w:val="single" w:sz="4" w:space="0" w:color="auto"/>
                    <w:bottom w:val="single" w:sz="4" w:space="0" w:color="auto"/>
                    <w:right w:val="single" w:sz="4" w:space="0" w:color="auto"/>
                  </w:tcBorders>
                  <w:shd w:val="clear" w:color="auto" w:fill="auto"/>
                  <w:vAlign w:val="bottom"/>
                </w:tcPr>
                <w:p w14:paraId="66639D5D" w14:textId="3EF4788D" w:rsidR="0007740A" w:rsidRPr="00036409" w:rsidRDefault="0007740A" w:rsidP="0007740A">
                  <w:pPr>
                    <w:tabs>
                      <w:tab w:val="right" w:pos="6732"/>
                    </w:tabs>
                    <w:rPr>
                      <w:rFonts w:cstheme="minorHAnsi"/>
                      <w:sz w:val="20"/>
                      <w:szCs w:val="20"/>
                    </w:rPr>
                  </w:pPr>
                  <w:r>
                    <w:rPr>
                      <w:rFonts w:ascii="Calibri" w:hAnsi="Calibri"/>
                      <w:color w:val="000000"/>
                      <w:szCs w:val="22"/>
                    </w:rPr>
                    <w:t>LEDFixt(124.99w)</w:t>
                  </w:r>
                </w:p>
              </w:tc>
              <w:tc>
                <w:tcPr>
                  <w:tcW w:w="990" w:type="dxa"/>
                  <w:tcBorders>
                    <w:top w:val="nil"/>
                    <w:left w:val="single" w:sz="4" w:space="0" w:color="auto"/>
                    <w:bottom w:val="single" w:sz="4" w:space="0" w:color="auto"/>
                    <w:right w:val="single" w:sz="4" w:space="0" w:color="auto"/>
                  </w:tcBorders>
                  <w:shd w:val="clear" w:color="auto" w:fill="auto"/>
                  <w:vAlign w:val="bottom"/>
                </w:tcPr>
                <w:p w14:paraId="1698D972" w14:textId="490152D7" w:rsidR="0007740A" w:rsidRPr="00036409" w:rsidRDefault="0007740A" w:rsidP="0007740A">
                  <w:pPr>
                    <w:tabs>
                      <w:tab w:val="right" w:pos="6732"/>
                    </w:tabs>
                    <w:rPr>
                      <w:rFonts w:cstheme="minorHAnsi"/>
                      <w:sz w:val="20"/>
                      <w:szCs w:val="20"/>
                    </w:rPr>
                  </w:pPr>
                  <w:r>
                    <w:rPr>
                      <w:rFonts w:ascii="Calibri" w:hAnsi="Calibri"/>
                      <w:color w:val="000000"/>
                      <w:szCs w:val="22"/>
                    </w:rPr>
                    <w:t xml:space="preserve"> $ 23.33 </w:t>
                  </w:r>
                </w:p>
              </w:tc>
              <w:tc>
                <w:tcPr>
                  <w:tcW w:w="1199" w:type="dxa"/>
                  <w:tcBorders>
                    <w:top w:val="nil"/>
                    <w:left w:val="single" w:sz="4" w:space="0" w:color="auto"/>
                    <w:bottom w:val="single" w:sz="4" w:space="0" w:color="auto"/>
                    <w:right w:val="single" w:sz="4" w:space="0" w:color="auto"/>
                  </w:tcBorders>
                  <w:shd w:val="clear" w:color="auto" w:fill="auto"/>
                  <w:vAlign w:val="bottom"/>
                </w:tcPr>
                <w:p w14:paraId="2EC1AB61" w14:textId="3D8FDA51" w:rsidR="0007740A" w:rsidRPr="00E07FAA" w:rsidRDefault="0007740A" w:rsidP="0007740A">
                  <w:pPr>
                    <w:tabs>
                      <w:tab w:val="right" w:pos="6732"/>
                    </w:tabs>
                    <w:rPr>
                      <w:rFonts w:cstheme="minorHAnsi"/>
                      <w:sz w:val="20"/>
                      <w:szCs w:val="20"/>
                    </w:rPr>
                  </w:pPr>
                  <w:r>
                    <w:rPr>
                      <w:rFonts w:ascii="Calibri" w:hAnsi="Calibri"/>
                      <w:color w:val="000000"/>
                      <w:szCs w:val="22"/>
                    </w:rPr>
                    <w:t xml:space="preserve"> $ 23.33 </w:t>
                  </w:r>
                </w:p>
              </w:tc>
            </w:tr>
            <w:tr w:rsidR="0007740A" w:rsidRPr="00036409" w14:paraId="0A5607E8" w14:textId="56D87497" w:rsidTr="0007740A">
              <w:tc>
                <w:tcPr>
                  <w:tcW w:w="1157" w:type="dxa"/>
                  <w:vAlign w:val="bottom"/>
                </w:tcPr>
                <w:p w14:paraId="5FB9B08C" w14:textId="7F6850F4" w:rsidR="0007740A" w:rsidRPr="00036409" w:rsidRDefault="0007740A" w:rsidP="0007740A">
                  <w:pPr>
                    <w:tabs>
                      <w:tab w:val="right" w:pos="6732"/>
                    </w:tabs>
                    <w:rPr>
                      <w:rFonts w:cstheme="minorHAnsi"/>
                      <w:sz w:val="20"/>
                      <w:szCs w:val="20"/>
                    </w:rPr>
                  </w:pPr>
                  <w:r w:rsidRPr="0091074F">
                    <w:rPr>
                      <w:rFonts w:ascii="Calibri" w:hAnsi="Calibri"/>
                      <w:color w:val="000000"/>
                      <w:sz w:val="20"/>
                      <w:szCs w:val="20"/>
                    </w:rPr>
                    <w:t>465247</w:t>
                  </w:r>
                </w:p>
              </w:tc>
              <w:tc>
                <w:tcPr>
                  <w:tcW w:w="1400" w:type="dxa"/>
                  <w:vAlign w:val="bottom"/>
                </w:tcPr>
                <w:p w14:paraId="104F0421" w14:textId="5FF6AF3A" w:rsidR="0007740A" w:rsidRPr="00036409" w:rsidRDefault="0007740A" w:rsidP="0007740A">
                  <w:pPr>
                    <w:tabs>
                      <w:tab w:val="right" w:pos="6732"/>
                    </w:tabs>
                    <w:rPr>
                      <w:rFonts w:cstheme="minorHAnsi"/>
                      <w:sz w:val="20"/>
                      <w:szCs w:val="20"/>
                    </w:rPr>
                  </w:pPr>
                  <w:r w:rsidRPr="0091074F">
                    <w:rPr>
                      <w:rFonts w:ascii="Calibri" w:hAnsi="Calibri"/>
                      <w:color w:val="000000"/>
                      <w:sz w:val="20"/>
                      <w:szCs w:val="20"/>
                    </w:rPr>
                    <w:t>465265</w:t>
                  </w:r>
                </w:p>
              </w:tc>
              <w:tc>
                <w:tcPr>
                  <w:tcW w:w="2668" w:type="dxa"/>
                  <w:tcBorders>
                    <w:top w:val="nil"/>
                    <w:left w:val="single" w:sz="4" w:space="0" w:color="auto"/>
                    <w:bottom w:val="single" w:sz="4" w:space="0" w:color="auto"/>
                    <w:right w:val="single" w:sz="4" w:space="0" w:color="auto"/>
                  </w:tcBorders>
                  <w:shd w:val="clear" w:color="000000" w:fill="FFFFFF"/>
                  <w:vAlign w:val="bottom"/>
                </w:tcPr>
                <w:p w14:paraId="38194473" w14:textId="08317C86" w:rsidR="0007740A" w:rsidRDefault="0007740A" w:rsidP="0007740A">
                  <w:pPr>
                    <w:tabs>
                      <w:tab w:val="right" w:pos="6732"/>
                    </w:tabs>
                    <w:rPr>
                      <w:rFonts w:ascii="Calibri" w:hAnsi="Calibri"/>
                      <w:color w:val="000000"/>
                      <w:szCs w:val="22"/>
                    </w:rPr>
                  </w:pPr>
                  <w:r>
                    <w:rPr>
                      <w:rFonts w:ascii="Calibri" w:hAnsi="Calibri"/>
                      <w:color w:val="000000"/>
                      <w:sz w:val="20"/>
                      <w:szCs w:val="20"/>
                    </w:rPr>
                    <w:t>LED Fixture: High/Low Bay, &gt;=130 LPW, 0 to &lt;42 W</w:t>
                  </w:r>
                </w:p>
              </w:tc>
              <w:tc>
                <w:tcPr>
                  <w:tcW w:w="1440" w:type="dxa"/>
                  <w:tcBorders>
                    <w:top w:val="nil"/>
                    <w:left w:val="single" w:sz="4" w:space="0" w:color="auto"/>
                    <w:bottom w:val="single" w:sz="4" w:space="0" w:color="auto"/>
                    <w:right w:val="single" w:sz="4" w:space="0" w:color="auto"/>
                  </w:tcBorders>
                  <w:shd w:val="clear" w:color="auto" w:fill="auto"/>
                  <w:vAlign w:val="bottom"/>
                </w:tcPr>
                <w:p w14:paraId="71B6DB2D" w14:textId="197EFF6A" w:rsidR="0007740A" w:rsidRPr="00036409" w:rsidRDefault="0007740A" w:rsidP="0007740A">
                  <w:pPr>
                    <w:tabs>
                      <w:tab w:val="right" w:pos="6732"/>
                    </w:tabs>
                    <w:rPr>
                      <w:rFonts w:cstheme="minorHAnsi"/>
                      <w:sz w:val="20"/>
                      <w:szCs w:val="20"/>
                    </w:rPr>
                  </w:pPr>
                  <w:r>
                    <w:rPr>
                      <w:rFonts w:ascii="Calibri" w:hAnsi="Calibri"/>
                      <w:color w:val="000000"/>
                      <w:szCs w:val="22"/>
                    </w:rPr>
                    <w:t>LEDFixt(41.99w)</w:t>
                  </w:r>
                </w:p>
              </w:tc>
              <w:tc>
                <w:tcPr>
                  <w:tcW w:w="990" w:type="dxa"/>
                  <w:tcBorders>
                    <w:top w:val="nil"/>
                    <w:left w:val="single" w:sz="4" w:space="0" w:color="auto"/>
                    <w:bottom w:val="single" w:sz="4" w:space="0" w:color="auto"/>
                    <w:right w:val="single" w:sz="4" w:space="0" w:color="auto"/>
                  </w:tcBorders>
                  <w:shd w:val="clear" w:color="auto" w:fill="auto"/>
                  <w:vAlign w:val="bottom"/>
                </w:tcPr>
                <w:p w14:paraId="0F033D5E" w14:textId="52D3D9B2" w:rsidR="0007740A" w:rsidRPr="00036409" w:rsidRDefault="0007740A" w:rsidP="0007740A">
                  <w:pPr>
                    <w:tabs>
                      <w:tab w:val="right" w:pos="6732"/>
                    </w:tabs>
                    <w:rPr>
                      <w:rFonts w:cstheme="minorHAnsi"/>
                      <w:sz w:val="20"/>
                      <w:szCs w:val="20"/>
                    </w:rPr>
                  </w:pPr>
                  <w:r>
                    <w:rPr>
                      <w:rFonts w:ascii="Calibri" w:hAnsi="Calibri"/>
                      <w:color w:val="000000"/>
                      <w:szCs w:val="22"/>
                    </w:rPr>
                    <w:t xml:space="preserve"> $ 22.00 </w:t>
                  </w:r>
                </w:p>
              </w:tc>
              <w:tc>
                <w:tcPr>
                  <w:tcW w:w="1199" w:type="dxa"/>
                  <w:tcBorders>
                    <w:top w:val="nil"/>
                    <w:left w:val="single" w:sz="4" w:space="0" w:color="auto"/>
                    <w:bottom w:val="single" w:sz="4" w:space="0" w:color="auto"/>
                    <w:right w:val="single" w:sz="4" w:space="0" w:color="auto"/>
                  </w:tcBorders>
                  <w:shd w:val="clear" w:color="auto" w:fill="auto"/>
                  <w:vAlign w:val="bottom"/>
                </w:tcPr>
                <w:p w14:paraId="48FDA237" w14:textId="71B539E1" w:rsidR="0007740A" w:rsidRPr="00E07FAA" w:rsidRDefault="0007740A" w:rsidP="0007740A">
                  <w:pPr>
                    <w:tabs>
                      <w:tab w:val="right" w:pos="6732"/>
                    </w:tabs>
                    <w:rPr>
                      <w:rFonts w:cstheme="minorHAnsi"/>
                      <w:sz w:val="20"/>
                      <w:szCs w:val="20"/>
                    </w:rPr>
                  </w:pPr>
                  <w:r>
                    <w:rPr>
                      <w:rFonts w:ascii="Calibri" w:hAnsi="Calibri"/>
                      <w:color w:val="000000"/>
                      <w:szCs w:val="22"/>
                    </w:rPr>
                    <w:t xml:space="preserve"> $ 22.00 </w:t>
                  </w:r>
                </w:p>
              </w:tc>
            </w:tr>
            <w:tr w:rsidR="0007740A" w:rsidRPr="00036409" w14:paraId="4B2425AA" w14:textId="4544FE42" w:rsidTr="0007740A">
              <w:tc>
                <w:tcPr>
                  <w:tcW w:w="1157" w:type="dxa"/>
                  <w:vAlign w:val="bottom"/>
                </w:tcPr>
                <w:p w14:paraId="37866162" w14:textId="15AD3763" w:rsidR="0007740A" w:rsidRDefault="0007740A" w:rsidP="0007740A">
                  <w:pPr>
                    <w:tabs>
                      <w:tab w:val="right" w:pos="6732"/>
                    </w:tabs>
                    <w:rPr>
                      <w:rFonts w:cstheme="minorHAnsi"/>
                      <w:sz w:val="20"/>
                      <w:szCs w:val="20"/>
                    </w:rPr>
                  </w:pPr>
                  <w:r w:rsidRPr="0091074F">
                    <w:rPr>
                      <w:rFonts w:ascii="Calibri" w:hAnsi="Calibri"/>
                      <w:color w:val="000000"/>
                      <w:sz w:val="20"/>
                      <w:szCs w:val="20"/>
                    </w:rPr>
                    <w:t>465248</w:t>
                  </w:r>
                </w:p>
              </w:tc>
              <w:tc>
                <w:tcPr>
                  <w:tcW w:w="1400" w:type="dxa"/>
                  <w:vAlign w:val="bottom"/>
                </w:tcPr>
                <w:p w14:paraId="31308317" w14:textId="31329959" w:rsidR="0007740A" w:rsidRPr="00036409" w:rsidRDefault="0007740A" w:rsidP="0007740A">
                  <w:pPr>
                    <w:tabs>
                      <w:tab w:val="right" w:pos="6732"/>
                    </w:tabs>
                    <w:rPr>
                      <w:rFonts w:cstheme="minorHAnsi"/>
                      <w:sz w:val="20"/>
                      <w:szCs w:val="20"/>
                    </w:rPr>
                  </w:pPr>
                  <w:r w:rsidRPr="0091074F">
                    <w:rPr>
                      <w:rFonts w:ascii="Calibri" w:hAnsi="Calibri"/>
                      <w:color w:val="000000"/>
                      <w:sz w:val="20"/>
                      <w:szCs w:val="20"/>
                    </w:rPr>
                    <w:t>465266</w:t>
                  </w:r>
                </w:p>
              </w:tc>
              <w:tc>
                <w:tcPr>
                  <w:tcW w:w="2668" w:type="dxa"/>
                  <w:tcBorders>
                    <w:top w:val="nil"/>
                    <w:left w:val="single" w:sz="4" w:space="0" w:color="auto"/>
                    <w:bottom w:val="single" w:sz="4" w:space="0" w:color="auto"/>
                    <w:right w:val="single" w:sz="4" w:space="0" w:color="auto"/>
                  </w:tcBorders>
                  <w:shd w:val="clear" w:color="000000" w:fill="FFFFFF"/>
                  <w:vAlign w:val="bottom"/>
                </w:tcPr>
                <w:p w14:paraId="4679EFE3" w14:textId="6D82CE3C" w:rsidR="0007740A" w:rsidRDefault="0007740A" w:rsidP="0007740A">
                  <w:pPr>
                    <w:tabs>
                      <w:tab w:val="right" w:pos="6732"/>
                    </w:tabs>
                    <w:rPr>
                      <w:rFonts w:ascii="Calibri" w:hAnsi="Calibri"/>
                      <w:color w:val="000000"/>
                      <w:szCs w:val="22"/>
                    </w:rPr>
                  </w:pPr>
                  <w:r>
                    <w:rPr>
                      <w:rFonts w:ascii="Calibri" w:hAnsi="Calibri"/>
                      <w:color w:val="000000"/>
                      <w:sz w:val="20"/>
                      <w:szCs w:val="20"/>
                    </w:rPr>
                    <w:t>LED Fixture: High/Low Bay, &gt;=130 LPW, 42 to &lt;60 W</w:t>
                  </w:r>
                </w:p>
              </w:tc>
              <w:tc>
                <w:tcPr>
                  <w:tcW w:w="1440" w:type="dxa"/>
                  <w:tcBorders>
                    <w:top w:val="nil"/>
                    <w:left w:val="single" w:sz="4" w:space="0" w:color="auto"/>
                    <w:bottom w:val="single" w:sz="4" w:space="0" w:color="auto"/>
                    <w:right w:val="single" w:sz="4" w:space="0" w:color="auto"/>
                  </w:tcBorders>
                  <w:shd w:val="clear" w:color="auto" w:fill="auto"/>
                  <w:vAlign w:val="bottom"/>
                </w:tcPr>
                <w:p w14:paraId="3952CDEF" w14:textId="6380278B" w:rsidR="0007740A" w:rsidRPr="00036409" w:rsidRDefault="0007740A" w:rsidP="0007740A">
                  <w:pPr>
                    <w:tabs>
                      <w:tab w:val="right" w:pos="6732"/>
                    </w:tabs>
                    <w:rPr>
                      <w:rFonts w:cstheme="minorHAnsi"/>
                      <w:sz w:val="20"/>
                      <w:szCs w:val="20"/>
                    </w:rPr>
                  </w:pPr>
                  <w:r>
                    <w:rPr>
                      <w:rFonts w:ascii="Calibri" w:hAnsi="Calibri"/>
                      <w:color w:val="000000"/>
                      <w:szCs w:val="22"/>
                    </w:rPr>
                    <w:t>LEDFixt(59.99w)</w:t>
                  </w:r>
                </w:p>
              </w:tc>
              <w:tc>
                <w:tcPr>
                  <w:tcW w:w="990" w:type="dxa"/>
                  <w:tcBorders>
                    <w:top w:val="nil"/>
                    <w:left w:val="single" w:sz="4" w:space="0" w:color="auto"/>
                    <w:bottom w:val="single" w:sz="4" w:space="0" w:color="auto"/>
                    <w:right w:val="single" w:sz="4" w:space="0" w:color="auto"/>
                  </w:tcBorders>
                  <w:shd w:val="clear" w:color="auto" w:fill="auto"/>
                  <w:vAlign w:val="bottom"/>
                </w:tcPr>
                <w:p w14:paraId="38B321CA" w14:textId="24536878" w:rsidR="0007740A" w:rsidRPr="00036409" w:rsidRDefault="0007740A" w:rsidP="0007740A">
                  <w:pPr>
                    <w:tabs>
                      <w:tab w:val="right" w:pos="6732"/>
                    </w:tabs>
                    <w:rPr>
                      <w:rFonts w:cstheme="minorHAnsi"/>
                      <w:sz w:val="20"/>
                      <w:szCs w:val="20"/>
                    </w:rPr>
                  </w:pPr>
                  <w:r>
                    <w:rPr>
                      <w:rFonts w:ascii="Calibri" w:hAnsi="Calibri"/>
                      <w:color w:val="000000"/>
                      <w:szCs w:val="22"/>
                    </w:rPr>
                    <w:t xml:space="preserve"> $ 27.50 </w:t>
                  </w:r>
                </w:p>
              </w:tc>
              <w:tc>
                <w:tcPr>
                  <w:tcW w:w="1199" w:type="dxa"/>
                  <w:tcBorders>
                    <w:top w:val="nil"/>
                    <w:left w:val="single" w:sz="4" w:space="0" w:color="auto"/>
                    <w:bottom w:val="single" w:sz="4" w:space="0" w:color="auto"/>
                    <w:right w:val="single" w:sz="4" w:space="0" w:color="auto"/>
                  </w:tcBorders>
                  <w:shd w:val="clear" w:color="auto" w:fill="auto"/>
                  <w:vAlign w:val="bottom"/>
                </w:tcPr>
                <w:p w14:paraId="02DB017F" w14:textId="14A1A95C" w:rsidR="0007740A" w:rsidRPr="00E07FAA" w:rsidRDefault="0007740A" w:rsidP="0007740A">
                  <w:pPr>
                    <w:tabs>
                      <w:tab w:val="right" w:pos="6732"/>
                    </w:tabs>
                    <w:rPr>
                      <w:rFonts w:cstheme="minorHAnsi"/>
                      <w:sz w:val="20"/>
                      <w:szCs w:val="20"/>
                    </w:rPr>
                  </w:pPr>
                  <w:r>
                    <w:rPr>
                      <w:rFonts w:ascii="Calibri" w:hAnsi="Calibri"/>
                      <w:color w:val="000000"/>
                      <w:szCs w:val="22"/>
                    </w:rPr>
                    <w:t xml:space="preserve"> $ 27.50 </w:t>
                  </w:r>
                </w:p>
              </w:tc>
            </w:tr>
            <w:tr w:rsidR="0007740A" w:rsidRPr="00036409" w14:paraId="3EF448E0" w14:textId="26D51E9C" w:rsidTr="0007740A">
              <w:tc>
                <w:tcPr>
                  <w:tcW w:w="1157" w:type="dxa"/>
                  <w:vAlign w:val="bottom"/>
                </w:tcPr>
                <w:p w14:paraId="44C5B815" w14:textId="7D31B0A3" w:rsidR="0007740A" w:rsidRDefault="0007740A" w:rsidP="0007740A">
                  <w:pPr>
                    <w:tabs>
                      <w:tab w:val="right" w:pos="6732"/>
                    </w:tabs>
                    <w:rPr>
                      <w:rFonts w:cstheme="minorHAnsi"/>
                      <w:sz w:val="20"/>
                      <w:szCs w:val="20"/>
                    </w:rPr>
                  </w:pPr>
                  <w:r w:rsidRPr="0091074F">
                    <w:rPr>
                      <w:rFonts w:ascii="Calibri" w:hAnsi="Calibri"/>
                      <w:color w:val="000000"/>
                      <w:sz w:val="20"/>
                      <w:szCs w:val="20"/>
                    </w:rPr>
                    <w:t>465249</w:t>
                  </w:r>
                </w:p>
              </w:tc>
              <w:tc>
                <w:tcPr>
                  <w:tcW w:w="1400" w:type="dxa"/>
                  <w:vAlign w:val="bottom"/>
                </w:tcPr>
                <w:p w14:paraId="1766F03E" w14:textId="76525E17" w:rsidR="0007740A" w:rsidRPr="00036409" w:rsidRDefault="0007740A" w:rsidP="0007740A">
                  <w:pPr>
                    <w:tabs>
                      <w:tab w:val="right" w:pos="6732"/>
                    </w:tabs>
                    <w:rPr>
                      <w:rFonts w:cstheme="minorHAnsi"/>
                      <w:sz w:val="20"/>
                      <w:szCs w:val="20"/>
                    </w:rPr>
                  </w:pPr>
                  <w:r w:rsidRPr="0091074F">
                    <w:rPr>
                      <w:rFonts w:ascii="Calibri" w:hAnsi="Calibri"/>
                      <w:color w:val="000000"/>
                      <w:sz w:val="20"/>
                      <w:szCs w:val="20"/>
                    </w:rPr>
                    <w:t>465267</w:t>
                  </w:r>
                </w:p>
              </w:tc>
              <w:tc>
                <w:tcPr>
                  <w:tcW w:w="2668" w:type="dxa"/>
                  <w:tcBorders>
                    <w:top w:val="nil"/>
                    <w:left w:val="single" w:sz="4" w:space="0" w:color="auto"/>
                    <w:bottom w:val="single" w:sz="4" w:space="0" w:color="auto"/>
                    <w:right w:val="single" w:sz="4" w:space="0" w:color="auto"/>
                  </w:tcBorders>
                  <w:shd w:val="clear" w:color="000000" w:fill="FFFFFF"/>
                  <w:vAlign w:val="bottom"/>
                </w:tcPr>
                <w:p w14:paraId="611D91FA" w14:textId="4E2EBE6B" w:rsidR="0007740A" w:rsidRDefault="0007740A" w:rsidP="0007740A">
                  <w:pPr>
                    <w:tabs>
                      <w:tab w:val="right" w:pos="6732"/>
                    </w:tabs>
                    <w:rPr>
                      <w:rFonts w:ascii="Calibri" w:hAnsi="Calibri"/>
                      <w:color w:val="000000"/>
                      <w:szCs w:val="22"/>
                    </w:rPr>
                  </w:pPr>
                  <w:r>
                    <w:rPr>
                      <w:rFonts w:ascii="Calibri" w:hAnsi="Calibri"/>
                      <w:color w:val="000000"/>
                      <w:sz w:val="20"/>
                      <w:szCs w:val="20"/>
                    </w:rPr>
                    <w:t>LED Fixture: High/Low Bay, &gt;=130 LPW, 60 to &lt;82 W</w:t>
                  </w:r>
                </w:p>
              </w:tc>
              <w:tc>
                <w:tcPr>
                  <w:tcW w:w="1440" w:type="dxa"/>
                  <w:tcBorders>
                    <w:top w:val="nil"/>
                    <w:left w:val="single" w:sz="4" w:space="0" w:color="auto"/>
                    <w:bottom w:val="single" w:sz="4" w:space="0" w:color="auto"/>
                    <w:right w:val="single" w:sz="4" w:space="0" w:color="auto"/>
                  </w:tcBorders>
                  <w:shd w:val="clear" w:color="auto" w:fill="auto"/>
                  <w:vAlign w:val="bottom"/>
                </w:tcPr>
                <w:p w14:paraId="7033E8D9" w14:textId="72F5F74F" w:rsidR="0007740A" w:rsidRPr="00036409" w:rsidRDefault="0007740A" w:rsidP="0007740A">
                  <w:pPr>
                    <w:tabs>
                      <w:tab w:val="right" w:pos="6732"/>
                    </w:tabs>
                    <w:rPr>
                      <w:rFonts w:cstheme="minorHAnsi"/>
                      <w:sz w:val="20"/>
                      <w:szCs w:val="20"/>
                    </w:rPr>
                  </w:pPr>
                  <w:r>
                    <w:rPr>
                      <w:rFonts w:ascii="Calibri" w:hAnsi="Calibri"/>
                      <w:color w:val="000000"/>
                      <w:szCs w:val="22"/>
                    </w:rPr>
                    <w:t>LEDFixt(81.99w)</w:t>
                  </w:r>
                </w:p>
              </w:tc>
              <w:tc>
                <w:tcPr>
                  <w:tcW w:w="990" w:type="dxa"/>
                  <w:tcBorders>
                    <w:top w:val="nil"/>
                    <w:left w:val="single" w:sz="4" w:space="0" w:color="auto"/>
                    <w:bottom w:val="single" w:sz="4" w:space="0" w:color="auto"/>
                    <w:right w:val="single" w:sz="4" w:space="0" w:color="auto"/>
                  </w:tcBorders>
                  <w:shd w:val="clear" w:color="auto" w:fill="auto"/>
                  <w:vAlign w:val="bottom"/>
                </w:tcPr>
                <w:p w14:paraId="1278CA44" w14:textId="2EDB7F2A" w:rsidR="0007740A" w:rsidRPr="00036409" w:rsidRDefault="0007740A" w:rsidP="0007740A">
                  <w:pPr>
                    <w:tabs>
                      <w:tab w:val="right" w:pos="6732"/>
                    </w:tabs>
                    <w:rPr>
                      <w:rFonts w:cstheme="minorHAnsi"/>
                      <w:sz w:val="20"/>
                      <w:szCs w:val="20"/>
                    </w:rPr>
                  </w:pPr>
                  <w:r>
                    <w:rPr>
                      <w:rFonts w:ascii="Calibri" w:hAnsi="Calibri"/>
                      <w:color w:val="000000"/>
                      <w:szCs w:val="22"/>
                    </w:rPr>
                    <w:t xml:space="preserve"> $ 33.00 </w:t>
                  </w:r>
                </w:p>
              </w:tc>
              <w:tc>
                <w:tcPr>
                  <w:tcW w:w="1199" w:type="dxa"/>
                  <w:tcBorders>
                    <w:top w:val="nil"/>
                    <w:left w:val="single" w:sz="4" w:space="0" w:color="auto"/>
                    <w:bottom w:val="single" w:sz="4" w:space="0" w:color="auto"/>
                    <w:right w:val="single" w:sz="4" w:space="0" w:color="auto"/>
                  </w:tcBorders>
                  <w:shd w:val="clear" w:color="auto" w:fill="auto"/>
                  <w:vAlign w:val="bottom"/>
                </w:tcPr>
                <w:p w14:paraId="5904065D" w14:textId="1BC3FE7C" w:rsidR="0007740A" w:rsidRPr="00E07FAA" w:rsidRDefault="0007740A" w:rsidP="0007740A">
                  <w:pPr>
                    <w:tabs>
                      <w:tab w:val="right" w:pos="6732"/>
                    </w:tabs>
                    <w:rPr>
                      <w:rFonts w:cstheme="minorHAnsi"/>
                      <w:sz w:val="20"/>
                      <w:szCs w:val="20"/>
                    </w:rPr>
                  </w:pPr>
                  <w:r>
                    <w:rPr>
                      <w:rFonts w:ascii="Calibri" w:hAnsi="Calibri"/>
                      <w:color w:val="000000"/>
                      <w:szCs w:val="22"/>
                    </w:rPr>
                    <w:t xml:space="preserve"> $ 33.00 </w:t>
                  </w:r>
                </w:p>
              </w:tc>
            </w:tr>
            <w:tr w:rsidR="0007740A" w:rsidRPr="00036409" w14:paraId="695C6589" w14:textId="0A74F767" w:rsidTr="0007740A">
              <w:tc>
                <w:tcPr>
                  <w:tcW w:w="1157" w:type="dxa"/>
                  <w:vAlign w:val="bottom"/>
                </w:tcPr>
                <w:p w14:paraId="3C9C9FBA" w14:textId="50F08261" w:rsidR="0007740A" w:rsidRDefault="0007740A" w:rsidP="0007740A">
                  <w:pPr>
                    <w:tabs>
                      <w:tab w:val="right" w:pos="6732"/>
                    </w:tabs>
                    <w:rPr>
                      <w:rFonts w:cstheme="minorHAnsi"/>
                      <w:sz w:val="20"/>
                      <w:szCs w:val="20"/>
                    </w:rPr>
                  </w:pPr>
                  <w:r w:rsidRPr="0091074F">
                    <w:rPr>
                      <w:rFonts w:ascii="Calibri" w:hAnsi="Calibri"/>
                      <w:color w:val="000000"/>
                      <w:sz w:val="20"/>
                      <w:szCs w:val="20"/>
                    </w:rPr>
                    <w:t>465250</w:t>
                  </w:r>
                </w:p>
              </w:tc>
              <w:tc>
                <w:tcPr>
                  <w:tcW w:w="1400" w:type="dxa"/>
                  <w:vAlign w:val="bottom"/>
                </w:tcPr>
                <w:p w14:paraId="5C3CC7BD" w14:textId="35C69DFA" w:rsidR="0007740A" w:rsidRPr="00036409" w:rsidRDefault="0007740A" w:rsidP="0007740A">
                  <w:pPr>
                    <w:tabs>
                      <w:tab w:val="right" w:pos="6732"/>
                    </w:tabs>
                    <w:rPr>
                      <w:rFonts w:cstheme="minorHAnsi"/>
                      <w:sz w:val="20"/>
                      <w:szCs w:val="20"/>
                    </w:rPr>
                  </w:pPr>
                  <w:r w:rsidRPr="0091074F">
                    <w:rPr>
                      <w:rFonts w:ascii="Calibri" w:hAnsi="Calibri"/>
                      <w:color w:val="000000"/>
                      <w:sz w:val="20"/>
                      <w:szCs w:val="20"/>
                    </w:rPr>
                    <w:t>465268</w:t>
                  </w:r>
                </w:p>
              </w:tc>
              <w:tc>
                <w:tcPr>
                  <w:tcW w:w="2668" w:type="dxa"/>
                  <w:tcBorders>
                    <w:top w:val="nil"/>
                    <w:left w:val="single" w:sz="4" w:space="0" w:color="auto"/>
                    <w:bottom w:val="single" w:sz="4" w:space="0" w:color="auto"/>
                    <w:right w:val="single" w:sz="4" w:space="0" w:color="auto"/>
                  </w:tcBorders>
                  <w:shd w:val="clear" w:color="000000" w:fill="FFFFFF"/>
                  <w:vAlign w:val="bottom"/>
                </w:tcPr>
                <w:p w14:paraId="2E2D34A8" w14:textId="724BFAFD" w:rsidR="0007740A" w:rsidRDefault="0007740A" w:rsidP="0007740A">
                  <w:pPr>
                    <w:tabs>
                      <w:tab w:val="right" w:pos="6732"/>
                    </w:tabs>
                    <w:rPr>
                      <w:rFonts w:ascii="Calibri" w:hAnsi="Calibri"/>
                      <w:color w:val="000000"/>
                      <w:szCs w:val="22"/>
                    </w:rPr>
                  </w:pPr>
                  <w:r>
                    <w:rPr>
                      <w:rFonts w:ascii="Calibri" w:hAnsi="Calibri"/>
                      <w:color w:val="000000"/>
                      <w:sz w:val="20"/>
                      <w:szCs w:val="20"/>
                    </w:rPr>
                    <w:t>LED Fixture: High/Low Bay, &gt;=130 LPW, 82 to &lt;113 W</w:t>
                  </w:r>
                </w:p>
              </w:tc>
              <w:tc>
                <w:tcPr>
                  <w:tcW w:w="1440" w:type="dxa"/>
                  <w:tcBorders>
                    <w:top w:val="nil"/>
                    <w:left w:val="single" w:sz="4" w:space="0" w:color="auto"/>
                    <w:bottom w:val="single" w:sz="4" w:space="0" w:color="auto"/>
                    <w:right w:val="single" w:sz="4" w:space="0" w:color="auto"/>
                  </w:tcBorders>
                  <w:shd w:val="clear" w:color="auto" w:fill="auto"/>
                  <w:vAlign w:val="bottom"/>
                </w:tcPr>
                <w:p w14:paraId="5FA8810E" w14:textId="6E6EDD50" w:rsidR="0007740A" w:rsidRPr="00036409" w:rsidRDefault="0007740A" w:rsidP="0007740A">
                  <w:pPr>
                    <w:tabs>
                      <w:tab w:val="right" w:pos="6732"/>
                    </w:tabs>
                    <w:rPr>
                      <w:rFonts w:cstheme="minorHAnsi"/>
                      <w:sz w:val="20"/>
                      <w:szCs w:val="20"/>
                    </w:rPr>
                  </w:pPr>
                  <w:r>
                    <w:rPr>
                      <w:rFonts w:ascii="Calibri" w:hAnsi="Calibri"/>
                      <w:color w:val="000000"/>
                      <w:szCs w:val="22"/>
                    </w:rPr>
                    <w:t>LEDFixt(112.99w)</w:t>
                  </w:r>
                </w:p>
              </w:tc>
              <w:tc>
                <w:tcPr>
                  <w:tcW w:w="990" w:type="dxa"/>
                  <w:tcBorders>
                    <w:top w:val="nil"/>
                    <w:left w:val="single" w:sz="4" w:space="0" w:color="auto"/>
                    <w:bottom w:val="single" w:sz="4" w:space="0" w:color="auto"/>
                    <w:right w:val="single" w:sz="4" w:space="0" w:color="auto"/>
                  </w:tcBorders>
                  <w:shd w:val="clear" w:color="auto" w:fill="auto"/>
                  <w:vAlign w:val="bottom"/>
                </w:tcPr>
                <w:p w14:paraId="5E6BD1CC" w14:textId="35AA313F" w:rsidR="0007740A" w:rsidRPr="00036409" w:rsidRDefault="0007740A" w:rsidP="0007740A">
                  <w:pPr>
                    <w:tabs>
                      <w:tab w:val="right" w:pos="6732"/>
                    </w:tabs>
                    <w:rPr>
                      <w:rFonts w:cstheme="minorHAnsi"/>
                      <w:sz w:val="20"/>
                      <w:szCs w:val="20"/>
                    </w:rPr>
                  </w:pPr>
                  <w:r>
                    <w:rPr>
                      <w:rFonts w:ascii="Calibri" w:hAnsi="Calibri"/>
                      <w:color w:val="000000"/>
                      <w:szCs w:val="22"/>
                    </w:rPr>
                    <w:t xml:space="preserve"> $ 38.50 </w:t>
                  </w:r>
                </w:p>
              </w:tc>
              <w:tc>
                <w:tcPr>
                  <w:tcW w:w="1199" w:type="dxa"/>
                  <w:tcBorders>
                    <w:top w:val="nil"/>
                    <w:left w:val="single" w:sz="4" w:space="0" w:color="auto"/>
                    <w:bottom w:val="single" w:sz="4" w:space="0" w:color="auto"/>
                    <w:right w:val="single" w:sz="4" w:space="0" w:color="auto"/>
                  </w:tcBorders>
                  <w:shd w:val="clear" w:color="auto" w:fill="auto"/>
                  <w:vAlign w:val="bottom"/>
                </w:tcPr>
                <w:p w14:paraId="4443E72F" w14:textId="041E91DA" w:rsidR="0007740A" w:rsidRPr="00E07FAA" w:rsidRDefault="0007740A" w:rsidP="0007740A">
                  <w:pPr>
                    <w:tabs>
                      <w:tab w:val="right" w:pos="6732"/>
                    </w:tabs>
                    <w:rPr>
                      <w:rFonts w:cstheme="minorHAnsi"/>
                      <w:sz w:val="20"/>
                      <w:szCs w:val="20"/>
                    </w:rPr>
                  </w:pPr>
                  <w:r>
                    <w:rPr>
                      <w:rFonts w:ascii="Calibri" w:hAnsi="Calibri"/>
                      <w:color w:val="000000"/>
                      <w:szCs w:val="22"/>
                    </w:rPr>
                    <w:t xml:space="preserve"> $ 38.50 </w:t>
                  </w:r>
                </w:p>
              </w:tc>
            </w:tr>
            <w:tr w:rsidR="0007740A" w:rsidRPr="00036409" w14:paraId="05F00814" w14:textId="7C08DBD3" w:rsidTr="0007740A">
              <w:tc>
                <w:tcPr>
                  <w:tcW w:w="1157" w:type="dxa"/>
                  <w:vAlign w:val="bottom"/>
                </w:tcPr>
                <w:p w14:paraId="18B01E3A" w14:textId="1FA75863" w:rsidR="0007740A" w:rsidRDefault="0007740A" w:rsidP="0007740A">
                  <w:pPr>
                    <w:tabs>
                      <w:tab w:val="right" w:pos="6732"/>
                    </w:tabs>
                    <w:rPr>
                      <w:rFonts w:cstheme="minorHAnsi"/>
                      <w:sz w:val="20"/>
                      <w:szCs w:val="20"/>
                    </w:rPr>
                  </w:pPr>
                  <w:r w:rsidRPr="0091074F">
                    <w:rPr>
                      <w:rFonts w:ascii="Calibri" w:hAnsi="Calibri"/>
                      <w:color w:val="000000"/>
                      <w:sz w:val="20"/>
                      <w:szCs w:val="20"/>
                    </w:rPr>
                    <w:t>465251</w:t>
                  </w:r>
                </w:p>
              </w:tc>
              <w:tc>
                <w:tcPr>
                  <w:tcW w:w="1400" w:type="dxa"/>
                  <w:vAlign w:val="bottom"/>
                </w:tcPr>
                <w:p w14:paraId="27B64DE0" w14:textId="71F69C43" w:rsidR="0007740A" w:rsidRPr="00036409" w:rsidRDefault="0007740A" w:rsidP="0007740A">
                  <w:pPr>
                    <w:tabs>
                      <w:tab w:val="right" w:pos="6732"/>
                    </w:tabs>
                    <w:rPr>
                      <w:rFonts w:cstheme="minorHAnsi"/>
                      <w:sz w:val="20"/>
                      <w:szCs w:val="20"/>
                    </w:rPr>
                  </w:pPr>
                  <w:r w:rsidRPr="0091074F">
                    <w:rPr>
                      <w:rFonts w:ascii="Calibri" w:hAnsi="Calibri"/>
                      <w:color w:val="000000"/>
                      <w:sz w:val="20"/>
                      <w:szCs w:val="20"/>
                    </w:rPr>
                    <w:t>465269</w:t>
                  </w:r>
                </w:p>
              </w:tc>
              <w:tc>
                <w:tcPr>
                  <w:tcW w:w="2668" w:type="dxa"/>
                  <w:tcBorders>
                    <w:top w:val="nil"/>
                    <w:left w:val="single" w:sz="4" w:space="0" w:color="auto"/>
                    <w:bottom w:val="single" w:sz="4" w:space="0" w:color="auto"/>
                    <w:right w:val="single" w:sz="4" w:space="0" w:color="auto"/>
                  </w:tcBorders>
                  <w:shd w:val="clear" w:color="000000" w:fill="FFFFFF"/>
                  <w:vAlign w:val="bottom"/>
                </w:tcPr>
                <w:p w14:paraId="3F6A5480" w14:textId="67E8C03B" w:rsidR="0007740A" w:rsidRDefault="0007740A" w:rsidP="0007740A">
                  <w:pPr>
                    <w:tabs>
                      <w:tab w:val="right" w:pos="6732"/>
                    </w:tabs>
                    <w:rPr>
                      <w:rFonts w:ascii="Calibri" w:hAnsi="Calibri"/>
                      <w:color w:val="000000"/>
                      <w:szCs w:val="22"/>
                    </w:rPr>
                  </w:pPr>
                  <w:r>
                    <w:rPr>
                      <w:rFonts w:ascii="Calibri" w:hAnsi="Calibri"/>
                      <w:color w:val="000000"/>
                      <w:sz w:val="20"/>
                      <w:szCs w:val="20"/>
                    </w:rPr>
                    <w:t>LED Fixture: High/Low Bay, 120 LPW to &lt;130 LPW, 125 to &lt;153 W</w:t>
                  </w:r>
                </w:p>
              </w:tc>
              <w:tc>
                <w:tcPr>
                  <w:tcW w:w="1440" w:type="dxa"/>
                  <w:tcBorders>
                    <w:top w:val="nil"/>
                    <w:left w:val="single" w:sz="4" w:space="0" w:color="auto"/>
                    <w:bottom w:val="single" w:sz="4" w:space="0" w:color="auto"/>
                    <w:right w:val="single" w:sz="4" w:space="0" w:color="auto"/>
                  </w:tcBorders>
                  <w:shd w:val="clear" w:color="auto" w:fill="auto"/>
                  <w:vAlign w:val="bottom"/>
                </w:tcPr>
                <w:p w14:paraId="3784484D" w14:textId="2EF31B48" w:rsidR="0007740A" w:rsidRPr="00036409" w:rsidRDefault="0007740A" w:rsidP="0007740A">
                  <w:pPr>
                    <w:tabs>
                      <w:tab w:val="right" w:pos="6732"/>
                    </w:tabs>
                    <w:rPr>
                      <w:rFonts w:cstheme="minorHAnsi"/>
                      <w:sz w:val="20"/>
                      <w:szCs w:val="20"/>
                    </w:rPr>
                  </w:pPr>
                  <w:r>
                    <w:rPr>
                      <w:rFonts w:ascii="Calibri" w:hAnsi="Calibri"/>
                      <w:color w:val="000000"/>
                      <w:szCs w:val="22"/>
                    </w:rPr>
                    <w:t>LEDFixt(152.99w)</w:t>
                  </w:r>
                </w:p>
              </w:tc>
              <w:tc>
                <w:tcPr>
                  <w:tcW w:w="990" w:type="dxa"/>
                  <w:tcBorders>
                    <w:top w:val="nil"/>
                    <w:left w:val="single" w:sz="4" w:space="0" w:color="auto"/>
                    <w:bottom w:val="single" w:sz="4" w:space="0" w:color="auto"/>
                    <w:right w:val="single" w:sz="4" w:space="0" w:color="auto"/>
                  </w:tcBorders>
                  <w:shd w:val="clear" w:color="auto" w:fill="auto"/>
                  <w:vAlign w:val="bottom"/>
                </w:tcPr>
                <w:p w14:paraId="68D67269" w14:textId="5D300032" w:rsidR="0007740A" w:rsidRPr="00036409" w:rsidRDefault="0007740A" w:rsidP="0007740A">
                  <w:pPr>
                    <w:tabs>
                      <w:tab w:val="right" w:pos="6732"/>
                    </w:tabs>
                    <w:rPr>
                      <w:rFonts w:cstheme="minorHAnsi"/>
                      <w:sz w:val="20"/>
                      <w:szCs w:val="20"/>
                    </w:rPr>
                  </w:pPr>
                  <w:r>
                    <w:rPr>
                      <w:rFonts w:ascii="Calibri" w:hAnsi="Calibri"/>
                      <w:color w:val="000000"/>
                      <w:szCs w:val="22"/>
                    </w:rPr>
                    <w:t xml:space="preserve"> $ 26.67 </w:t>
                  </w:r>
                </w:p>
              </w:tc>
              <w:tc>
                <w:tcPr>
                  <w:tcW w:w="1199" w:type="dxa"/>
                  <w:tcBorders>
                    <w:top w:val="nil"/>
                    <w:left w:val="single" w:sz="4" w:space="0" w:color="auto"/>
                    <w:bottom w:val="single" w:sz="4" w:space="0" w:color="auto"/>
                    <w:right w:val="single" w:sz="4" w:space="0" w:color="auto"/>
                  </w:tcBorders>
                  <w:shd w:val="clear" w:color="auto" w:fill="auto"/>
                  <w:vAlign w:val="bottom"/>
                </w:tcPr>
                <w:p w14:paraId="7AE6211D" w14:textId="29D14913" w:rsidR="0007740A" w:rsidRPr="00E07FAA" w:rsidRDefault="0007740A" w:rsidP="0007740A">
                  <w:pPr>
                    <w:tabs>
                      <w:tab w:val="right" w:pos="6732"/>
                    </w:tabs>
                    <w:rPr>
                      <w:rFonts w:cstheme="minorHAnsi"/>
                      <w:sz w:val="20"/>
                      <w:szCs w:val="20"/>
                    </w:rPr>
                  </w:pPr>
                  <w:r>
                    <w:rPr>
                      <w:rFonts w:ascii="Calibri" w:hAnsi="Calibri"/>
                      <w:color w:val="000000"/>
                      <w:szCs w:val="22"/>
                    </w:rPr>
                    <w:t xml:space="preserve"> $ 26.67 </w:t>
                  </w:r>
                </w:p>
              </w:tc>
            </w:tr>
            <w:tr w:rsidR="0007740A" w:rsidRPr="00036409" w14:paraId="729D8B48" w14:textId="6991524A" w:rsidTr="0007740A">
              <w:tc>
                <w:tcPr>
                  <w:tcW w:w="1157" w:type="dxa"/>
                  <w:vAlign w:val="bottom"/>
                </w:tcPr>
                <w:p w14:paraId="6472AA40" w14:textId="1CD5AF6D" w:rsidR="0007740A" w:rsidRDefault="0007740A" w:rsidP="0007740A">
                  <w:pPr>
                    <w:tabs>
                      <w:tab w:val="right" w:pos="6732"/>
                    </w:tabs>
                    <w:rPr>
                      <w:rFonts w:cstheme="minorHAnsi"/>
                      <w:sz w:val="20"/>
                      <w:szCs w:val="20"/>
                    </w:rPr>
                  </w:pPr>
                  <w:r w:rsidRPr="0091074F">
                    <w:rPr>
                      <w:rFonts w:ascii="Calibri" w:hAnsi="Calibri"/>
                      <w:color w:val="000000"/>
                      <w:sz w:val="20"/>
                      <w:szCs w:val="20"/>
                    </w:rPr>
                    <w:t>465252</w:t>
                  </w:r>
                </w:p>
              </w:tc>
              <w:tc>
                <w:tcPr>
                  <w:tcW w:w="1400" w:type="dxa"/>
                  <w:vAlign w:val="bottom"/>
                </w:tcPr>
                <w:p w14:paraId="7B09090F" w14:textId="4CB7B074" w:rsidR="0007740A" w:rsidRPr="00036409" w:rsidRDefault="0007740A" w:rsidP="0007740A">
                  <w:pPr>
                    <w:tabs>
                      <w:tab w:val="right" w:pos="6732"/>
                    </w:tabs>
                    <w:rPr>
                      <w:rFonts w:cstheme="minorHAnsi"/>
                      <w:sz w:val="20"/>
                      <w:szCs w:val="20"/>
                    </w:rPr>
                  </w:pPr>
                  <w:r w:rsidRPr="0091074F">
                    <w:rPr>
                      <w:rFonts w:ascii="Calibri" w:hAnsi="Calibri"/>
                      <w:color w:val="000000"/>
                      <w:sz w:val="20"/>
                      <w:szCs w:val="20"/>
                    </w:rPr>
                    <w:t>465270</w:t>
                  </w:r>
                </w:p>
              </w:tc>
              <w:tc>
                <w:tcPr>
                  <w:tcW w:w="2668" w:type="dxa"/>
                  <w:tcBorders>
                    <w:top w:val="nil"/>
                    <w:left w:val="single" w:sz="4" w:space="0" w:color="auto"/>
                    <w:bottom w:val="single" w:sz="4" w:space="0" w:color="auto"/>
                    <w:right w:val="single" w:sz="4" w:space="0" w:color="auto"/>
                  </w:tcBorders>
                  <w:shd w:val="clear" w:color="000000" w:fill="FFFFFF"/>
                  <w:vAlign w:val="bottom"/>
                </w:tcPr>
                <w:p w14:paraId="78302270" w14:textId="67238F3E" w:rsidR="0007740A" w:rsidRDefault="0007740A" w:rsidP="0007740A">
                  <w:pPr>
                    <w:tabs>
                      <w:tab w:val="right" w:pos="6732"/>
                    </w:tabs>
                    <w:rPr>
                      <w:rFonts w:ascii="Calibri" w:hAnsi="Calibri"/>
                      <w:color w:val="000000"/>
                      <w:szCs w:val="22"/>
                    </w:rPr>
                  </w:pPr>
                  <w:r>
                    <w:rPr>
                      <w:rFonts w:ascii="Calibri" w:hAnsi="Calibri"/>
                      <w:color w:val="000000"/>
                      <w:sz w:val="20"/>
                      <w:szCs w:val="20"/>
                    </w:rPr>
                    <w:t>LED Fixture: High/Low Bay, &gt;=130 LPW, 113 to &lt;140 W</w:t>
                  </w:r>
                </w:p>
              </w:tc>
              <w:tc>
                <w:tcPr>
                  <w:tcW w:w="1440" w:type="dxa"/>
                  <w:tcBorders>
                    <w:top w:val="nil"/>
                    <w:left w:val="single" w:sz="4" w:space="0" w:color="auto"/>
                    <w:bottom w:val="single" w:sz="4" w:space="0" w:color="auto"/>
                    <w:right w:val="single" w:sz="4" w:space="0" w:color="auto"/>
                  </w:tcBorders>
                  <w:shd w:val="clear" w:color="auto" w:fill="auto"/>
                  <w:vAlign w:val="bottom"/>
                </w:tcPr>
                <w:p w14:paraId="1DFA41ED" w14:textId="3AF23035" w:rsidR="0007740A" w:rsidRPr="00036409" w:rsidRDefault="0007740A" w:rsidP="0007740A">
                  <w:pPr>
                    <w:tabs>
                      <w:tab w:val="right" w:pos="6732"/>
                    </w:tabs>
                    <w:rPr>
                      <w:rFonts w:cstheme="minorHAnsi"/>
                      <w:sz w:val="20"/>
                      <w:szCs w:val="20"/>
                    </w:rPr>
                  </w:pPr>
                  <w:r>
                    <w:rPr>
                      <w:rFonts w:ascii="Calibri" w:hAnsi="Calibri"/>
                      <w:color w:val="000000"/>
                      <w:szCs w:val="22"/>
                    </w:rPr>
                    <w:t>LEDFixt(139.99w)</w:t>
                  </w:r>
                </w:p>
              </w:tc>
              <w:tc>
                <w:tcPr>
                  <w:tcW w:w="990" w:type="dxa"/>
                  <w:tcBorders>
                    <w:top w:val="nil"/>
                    <w:left w:val="single" w:sz="4" w:space="0" w:color="auto"/>
                    <w:bottom w:val="single" w:sz="4" w:space="0" w:color="auto"/>
                    <w:right w:val="single" w:sz="4" w:space="0" w:color="auto"/>
                  </w:tcBorders>
                  <w:shd w:val="clear" w:color="auto" w:fill="auto"/>
                  <w:vAlign w:val="bottom"/>
                </w:tcPr>
                <w:p w14:paraId="24BFF16C" w14:textId="158474DA" w:rsidR="0007740A" w:rsidRPr="00036409" w:rsidRDefault="0007740A" w:rsidP="0007740A">
                  <w:pPr>
                    <w:tabs>
                      <w:tab w:val="right" w:pos="6732"/>
                    </w:tabs>
                    <w:rPr>
                      <w:rFonts w:cstheme="minorHAnsi"/>
                      <w:sz w:val="20"/>
                      <w:szCs w:val="20"/>
                    </w:rPr>
                  </w:pPr>
                  <w:r>
                    <w:rPr>
                      <w:rFonts w:ascii="Calibri" w:hAnsi="Calibri"/>
                      <w:color w:val="000000"/>
                      <w:szCs w:val="22"/>
                    </w:rPr>
                    <w:t xml:space="preserve"> $ 44.00 </w:t>
                  </w:r>
                </w:p>
              </w:tc>
              <w:tc>
                <w:tcPr>
                  <w:tcW w:w="1199" w:type="dxa"/>
                  <w:tcBorders>
                    <w:top w:val="nil"/>
                    <w:left w:val="single" w:sz="4" w:space="0" w:color="auto"/>
                    <w:bottom w:val="single" w:sz="4" w:space="0" w:color="auto"/>
                    <w:right w:val="single" w:sz="4" w:space="0" w:color="auto"/>
                  </w:tcBorders>
                  <w:shd w:val="clear" w:color="auto" w:fill="auto"/>
                  <w:vAlign w:val="bottom"/>
                </w:tcPr>
                <w:p w14:paraId="070ECB5C" w14:textId="4E090B64" w:rsidR="0007740A" w:rsidRPr="00E07FAA" w:rsidRDefault="0007740A" w:rsidP="0007740A">
                  <w:pPr>
                    <w:tabs>
                      <w:tab w:val="right" w:pos="6732"/>
                    </w:tabs>
                    <w:rPr>
                      <w:rFonts w:cstheme="minorHAnsi"/>
                      <w:sz w:val="20"/>
                      <w:szCs w:val="20"/>
                    </w:rPr>
                  </w:pPr>
                  <w:r>
                    <w:rPr>
                      <w:rFonts w:ascii="Calibri" w:hAnsi="Calibri"/>
                      <w:color w:val="000000"/>
                      <w:szCs w:val="22"/>
                    </w:rPr>
                    <w:t xml:space="preserve"> $ 44.00 </w:t>
                  </w:r>
                </w:p>
              </w:tc>
            </w:tr>
            <w:tr w:rsidR="0007740A" w:rsidRPr="00036409" w14:paraId="4387A526" w14:textId="5D9C402B" w:rsidTr="0007740A">
              <w:tc>
                <w:tcPr>
                  <w:tcW w:w="1157" w:type="dxa"/>
                  <w:vAlign w:val="bottom"/>
                </w:tcPr>
                <w:p w14:paraId="50512801" w14:textId="3DF93366" w:rsidR="0007740A" w:rsidRDefault="0007740A" w:rsidP="0007740A">
                  <w:pPr>
                    <w:tabs>
                      <w:tab w:val="right" w:pos="6732"/>
                    </w:tabs>
                    <w:rPr>
                      <w:rFonts w:cstheme="minorHAnsi"/>
                      <w:sz w:val="20"/>
                      <w:szCs w:val="20"/>
                    </w:rPr>
                  </w:pPr>
                  <w:r w:rsidRPr="0091074F">
                    <w:rPr>
                      <w:rFonts w:ascii="Calibri" w:hAnsi="Calibri"/>
                      <w:color w:val="000000"/>
                      <w:sz w:val="20"/>
                      <w:szCs w:val="20"/>
                    </w:rPr>
                    <w:t>465253</w:t>
                  </w:r>
                </w:p>
              </w:tc>
              <w:tc>
                <w:tcPr>
                  <w:tcW w:w="1400" w:type="dxa"/>
                  <w:vAlign w:val="bottom"/>
                </w:tcPr>
                <w:p w14:paraId="7AF3C229" w14:textId="1C35A10E" w:rsidR="0007740A" w:rsidRPr="00036409" w:rsidRDefault="0007740A" w:rsidP="0007740A">
                  <w:pPr>
                    <w:tabs>
                      <w:tab w:val="right" w:pos="6732"/>
                    </w:tabs>
                    <w:rPr>
                      <w:rFonts w:cstheme="minorHAnsi"/>
                      <w:sz w:val="20"/>
                      <w:szCs w:val="20"/>
                    </w:rPr>
                  </w:pPr>
                  <w:r w:rsidRPr="0091074F">
                    <w:rPr>
                      <w:rFonts w:ascii="Calibri" w:hAnsi="Calibri"/>
                      <w:color w:val="000000"/>
                      <w:sz w:val="20"/>
                      <w:szCs w:val="20"/>
                    </w:rPr>
                    <w:t>465271</w:t>
                  </w:r>
                </w:p>
              </w:tc>
              <w:tc>
                <w:tcPr>
                  <w:tcW w:w="2668" w:type="dxa"/>
                  <w:tcBorders>
                    <w:top w:val="nil"/>
                    <w:left w:val="single" w:sz="4" w:space="0" w:color="auto"/>
                    <w:bottom w:val="single" w:sz="4" w:space="0" w:color="auto"/>
                    <w:right w:val="single" w:sz="4" w:space="0" w:color="auto"/>
                  </w:tcBorders>
                  <w:shd w:val="clear" w:color="000000" w:fill="FFFFFF"/>
                  <w:vAlign w:val="bottom"/>
                </w:tcPr>
                <w:p w14:paraId="400CD6C8" w14:textId="5A3B285F" w:rsidR="0007740A" w:rsidRDefault="0007740A" w:rsidP="0007740A">
                  <w:pPr>
                    <w:tabs>
                      <w:tab w:val="right" w:pos="6732"/>
                    </w:tabs>
                    <w:rPr>
                      <w:rFonts w:ascii="Calibri" w:hAnsi="Calibri"/>
                      <w:color w:val="000000"/>
                      <w:szCs w:val="22"/>
                    </w:rPr>
                  </w:pPr>
                  <w:r>
                    <w:rPr>
                      <w:rFonts w:ascii="Calibri" w:hAnsi="Calibri"/>
                      <w:color w:val="000000"/>
                      <w:sz w:val="20"/>
                      <w:szCs w:val="20"/>
                    </w:rPr>
                    <w:t>LED Fixture: High/Low Bay, 125 LPW to &lt;135 LPW, 153 to &lt;187 W</w:t>
                  </w:r>
                </w:p>
              </w:tc>
              <w:tc>
                <w:tcPr>
                  <w:tcW w:w="1440" w:type="dxa"/>
                  <w:tcBorders>
                    <w:top w:val="nil"/>
                    <w:left w:val="single" w:sz="4" w:space="0" w:color="auto"/>
                    <w:bottom w:val="single" w:sz="4" w:space="0" w:color="auto"/>
                    <w:right w:val="single" w:sz="4" w:space="0" w:color="auto"/>
                  </w:tcBorders>
                  <w:shd w:val="clear" w:color="auto" w:fill="auto"/>
                  <w:vAlign w:val="bottom"/>
                </w:tcPr>
                <w:p w14:paraId="5478964A" w14:textId="7500F03A" w:rsidR="0007740A" w:rsidRPr="00036409" w:rsidRDefault="0007740A" w:rsidP="0007740A">
                  <w:pPr>
                    <w:tabs>
                      <w:tab w:val="right" w:pos="6732"/>
                    </w:tabs>
                    <w:rPr>
                      <w:rFonts w:cstheme="minorHAnsi"/>
                      <w:sz w:val="20"/>
                      <w:szCs w:val="20"/>
                    </w:rPr>
                  </w:pPr>
                  <w:r>
                    <w:rPr>
                      <w:rFonts w:ascii="Calibri" w:hAnsi="Calibri"/>
                      <w:color w:val="000000"/>
                      <w:szCs w:val="22"/>
                    </w:rPr>
                    <w:t>LEDFixt(186.99w)</w:t>
                  </w:r>
                </w:p>
              </w:tc>
              <w:tc>
                <w:tcPr>
                  <w:tcW w:w="990" w:type="dxa"/>
                  <w:tcBorders>
                    <w:top w:val="nil"/>
                    <w:left w:val="single" w:sz="4" w:space="0" w:color="auto"/>
                    <w:bottom w:val="single" w:sz="4" w:space="0" w:color="auto"/>
                    <w:right w:val="single" w:sz="4" w:space="0" w:color="auto"/>
                  </w:tcBorders>
                  <w:shd w:val="clear" w:color="auto" w:fill="auto"/>
                  <w:vAlign w:val="bottom"/>
                </w:tcPr>
                <w:p w14:paraId="312A6C40" w14:textId="15839E3F" w:rsidR="0007740A" w:rsidRPr="00036409" w:rsidRDefault="0007740A" w:rsidP="0007740A">
                  <w:pPr>
                    <w:tabs>
                      <w:tab w:val="right" w:pos="6732"/>
                    </w:tabs>
                    <w:rPr>
                      <w:rFonts w:cstheme="minorHAnsi"/>
                      <w:sz w:val="20"/>
                      <w:szCs w:val="20"/>
                    </w:rPr>
                  </w:pPr>
                  <w:r>
                    <w:rPr>
                      <w:rFonts w:ascii="Calibri" w:hAnsi="Calibri"/>
                      <w:color w:val="000000"/>
                      <w:szCs w:val="22"/>
                    </w:rPr>
                    <w:t xml:space="preserve"> $ 30.00 </w:t>
                  </w:r>
                </w:p>
              </w:tc>
              <w:tc>
                <w:tcPr>
                  <w:tcW w:w="1199" w:type="dxa"/>
                  <w:tcBorders>
                    <w:top w:val="nil"/>
                    <w:left w:val="single" w:sz="4" w:space="0" w:color="auto"/>
                    <w:bottom w:val="single" w:sz="4" w:space="0" w:color="auto"/>
                    <w:right w:val="single" w:sz="4" w:space="0" w:color="auto"/>
                  </w:tcBorders>
                  <w:shd w:val="clear" w:color="auto" w:fill="auto"/>
                  <w:vAlign w:val="bottom"/>
                </w:tcPr>
                <w:p w14:paraId="4E5690DB" w14:textId="19A4639A" w:rsidR="0007740A" w:rsidRPr="00E07FAA" w:rsidRDefault="0007740A" w:rsidP="0007740A">
                  <w:pPr>
                    <w:tabs>
                      <w:tab w:val="right" w:pos="6732"/>
                    </w:tabs>
                    <w:rPr>
                      <w:rFonts w:cstheme="minorHAnsi"/>
                      <w:sz w:val="20"/>
                      <w:szCs w:val="20"/>
                    </w:rPr>
                  </w:pPr>
                  <w:r>
                    <w:rPr>
                      <w:rFonts w:ascii="Calibri" w:hAnsi="Calibri"/>
                      <w:color w:val="000000"/>
                      <w:szCs w:val="22"/>
                    </w:rPr>
                    <w:t xml:space="preserve"> $ 30.00 </w:t>
                  </w:r>
                </w:p>
              </w:tc>
            </w:tr>
            <w:tr w:rsidR="0007740A" w:rsidRPr="00036409" w14:paraId="7083B282" w14:textId="69FFF63A" w:rsidTr="0007740A">
              <w:tc>
                <w:tcPr>
                  <w:tcW w:w="1157" w:type="dxa"/>
                  <w:vAlign w:val="bottom"/>
                </w:tcPr>
                <w:p w14:paraId="45D76ABC" w14:textId="5070571F" w:rsidR="0007740A" w:rsidRDefault="0007740A" w:rsidP="0007740A">
                  <w:pPr>
                    <w:tabs>
                      <w:tab w:val="right" w:pos="6732"/>
                    </w:tabs>
                    <w:rPr>
                      <w:rFonts w:cstheme="minorHAnsi"/>
                      <w:sz w:val="20"/>
                      <w:szCs w:val="20"/>
                    </w:rPr>
                  </w:pPr>
                  <w:r w:rsidRPr="0091074F">
                    <w:rPr>
                      <w:rFonts w:ascii="Calibri" w:hAnsi="Calibri"/>
                      <w:color w:val="000000"/>
                      <w:sz w:val="20"/>
                      <w:szCs w:val="20"/>
                    </w:rPr>
                    <w:t>465254</w:t>
                  </w:r>
                </w:p>
              </w:tc>
              <w:tc>
                <w:tcPr>
                  <w:tcW w:w="1400" w:type="dxa"/>
                  <w:vAlign w:val="bottom"/>
                </w:tcPr>
                <w:p w14:paraId="0FC42219" w14:textId="00CB3395" w:rsidR="0007740A" w:rsidRPr="00036409" w:rsidRDefault="0007740A" w:rsidP="0007740A">
                  <w:pPr>
                    <w:tabs>
                      <w:tab w:val="right" w:pos="6732"/>
                    </w:tabs>
                    <w:rPr>
                      <w:rFonts w:cstheme="minorHAnsi"/>
                      <w:sz w:val="20"/>
                      <w:szCs w:val="20"/>
                    </w:rPr>
                  </w:pPr>
                  <w:r w:rsidRPr="0091074F">
                    <w:rPr>
                      <w:rFonts w:ascii="Calibri" w:hAnsi="Calibri"/>
                      <w:color w:val="000000"/>
                      <w:sz w:val="20"/>
                      <w:szCs w:val="20"/>
                    </w:rPr>
                    <w:t>465272</w:t>
                  </w:r>
                </w:p>
              </w:tc>
              <w:tc>
                <w:tcPr>
                  <w:tcW w:w="2668" w:type="dxa"/>
                  <w:tcBorders>
                    <w:top w:val="nil"/>
                    <w:left w:val="single" w:sz="4" w:space="0" w:color="auto"/>
                    <w:bottom w:val="single" w:sz="4" w:space="0" w:color="auto"/>
                    <w:right w:val="single" w:sz="4" w:space="0" w:color="auto"/>
                  </w:tcBorders>
                  <w:shd w:val="clear" w:color="000000" w:fill="FFFFFF"/>
                  <w:vAlign w:val="bottom"/>
                </w:tcPr>
                <w:p w14:paraId="5891EB63" w14:textId="2A889F1A" w:rsidR="0007740A" w:rsidRDefault="0007740A" w:rsidP="0007740A">
                  <w:pPr>
                    <w:tabs>
                      <w:tab w:val="right" w:pos="6732"/>
                    </w:tabs>
                    <w:rPr>
                      <w:rFonts w:ascii="Calibri" w:hAnsi="Calibri"/>
                      <w:color w:val="000000"/>
                      <w:szCs w:val="22"/>
                    </w:rPr>
                  </w:pPr>
                  <w:r>
                    <w:rPr>
                      <w:rFonts w:ascii="Calibri" w:hAnsi="Calibri"/>
                      <w:color w:val="000000"/>
                      <w:sz w:val="20"/>
                      <w:szCs w:val="20"/>
                    </w:rPr>
                    <w:t>LED Fixture: High/Low Bay, &gt;=135 LPW, 140 to &lt;174 W</w:t>
                  </w:r>
                </w:p>
              </w:tc>
              <w:tc>
                <w:tcPr>
                  <w:tcW w:w="1440" w:type="dxa"/>
                  <w:tcBorders>
                    <w:top w:val="nil"/>
                    <w:left w:val="single" w:sz="4" w:space="0" w:color="auto"/>
                    <w:bottom w:val="single" w:sz="4" w:space="0" w:color="auto"/>
                    <w:right w:val="single" w:sz="4" w:space="0" w:color="auto"/>
                  </w:tcBorders>
                  <w:shd w:val="clear" w:color="auto" w:fill="auto"/>
                  <w:vAlign w:val="bottom"/>
                </w:tcPr>
                <w:p w14:paraId="74269685" w14:textId="3BA8DF79" w:rsidR="0007740A" w:rsidRPr="00036409" w:rsidRDefault="0007740A" w:rsidP="0007740A">
                  <w:pPr>
                    <w:tabs>
                      <w:tab w:val="right" w:pos="6732"/>
                    </w:tabs>
                    <w:rPr>
                      <w:rFonts w:cstheme="minorHAnsi"/>
                      <w:sz w:val="20"/>
                      <w:szCs w:val="20"/>
                    </w:rPr>
                  </w:pPr>
                  <w:r>
                    <w:rPr>
                      <w:rFonts w:ascii="Calibri" w:hAnsi="Calibri"/>
                      <w:color w:val="000000"/>
                      <w:szCs w:val="22"/>
                    </w:rPr>
                    <w:t>LEDFixt(173.99w)</w:t>
                  </w:r>
                </w:p>
              </w:tc>
              <w:tc>
                <w:tcPr>
                  <w:tcW w:w="990" w:type="dxa"/>
                  <w:tcBorders>
                    <w:top w:val="nil"/>
                    <w:left w:val="single" w:sz="4" w:space="0" w:color="auto"/>
                    <w:bottom w:val="single" w:sz="4" w:space="0" w:color="auto"/>
                    <w:right w:val="single" w:sz="4" w:space="0" w:color="auto"/>
                  </w:tcBorders>
                  <w:shd w:val="clear" w:color="auto" w:fill="auto"/>
                  <w:vAlign w:val="bottom"/>
                </w:tcPr>
                <w:p w14:paraId="07695F8F" w14:textId="755AA290" w:rsidR="0007740A" w:rsidRPr="00036409" w:rsidRDefault="0007740A" w:rsidP="0007740A">
                  <w:pPr>
                    <w:tabs>
                      <w:tab w:val="right" w:pos="6732"/>
                    </w:tabs>
                    <w:rPr>
                      <w:rFonts w:cstheme="minorHAnsi"/>
                      <w:sz w:val="20"/>
                      <w:szCs w:val="20"/>
                    </w:rPr>
                  </w:pPr>
                  <w:r>
                    <w:rPr>
                      <w:rFonts w:ascii="Calibri" w:hAnsi="Calibri"/>
                      <w:color w:val="000000"/>
                      <w:szCs w:val="22"/>
                    </w:rPr>
                    <w:t xml:space="preserve"> $ 49.50 </w:t>
                  </w:r>
                </w:p>
              </w:tc>
              <w:tc>
                <w:tcPr>
                  <w:tcW w:w="1199" w:type="dxa"/>
                  <w:tcBorders>
                    <w:top w:val="nil"/>
                    <w:left w:val="single" w:sz="4" w:space="0" w:color="auto"/>
                    <w:bottom w:val="single" w:sz="4" w:space="0" w:color="auto"/>
                    <w:right w:val="single" w:sz="4" w:space="0" w:color="auto"/>
                  </w:tcBorders>
                  <w:shd w:val="clear" w:color="auto" w:fill="auto"/>
                  <w:vAlign w:val="bottom"/>
                </w:tcPr>
                <w:p w14:paraId="1B95F2A7" w14:textId="4297ACD1" w:rsidR="0007740A" w:rsidRPr="00E07FAA" w:rsidRDefault="0007740A" w:rsidP="0007740A">
                  <w:pPr>
                    <w:tabs>
                      <w:tab w:val="right" w:pos="6732"/>
                    </w:tabs>
                    <w:rPr>
                      <w:rFonts w:cstheme="minorHAnsi"/>
                      <w:sz w:val="20"/>
                      <w:szCs w:val="20"/>
                    </w:rPr>
                  </w:pPr>
                  <w:r>
                    <w:rPr>
                      <w:rFonts w:ascii="Calibri" w:hAnsi="Calibri"/>
                      <w:color w:val="000000"/>
                      <w:szCs w:val="22"/>
                    </w:rPr>
                    <w:t xml:space="preserve"> $ 49.50 </w:t>
                  </w:r>
                </w:p>
              </w:tc>
            </w:tr>
            <w:tr w:rsidR="0007740A" w:rsidRPr="00036409" w14:paraId="29C063D7" w14:textId="628AB381" w:rsidTr="0007740A">
              <w:tc>
                <w:tcPr>
                  <w:tcW w:w="1157" w:type="dxa"/>
                  <w:vAlign w:val="bottom"/>
                </w:tcPr>
                <w:p w14:paraId="076422F6" w14:textId="0E867D26" w:rsidR="0007740A" w:rsidRDefault="0007740A" w:rsidP="0007740A">
                  <w:pPr>
                    <w:tabs>
                      <w:tab w:val="right" w:pos="6732"/>
                    </w:tabs>
                    <w:rPr>
                      <w:rFonts w:cstheme="minorHAnsi"/>
                      <w:sz w:val="20"/>
                      <w:szCs w:val="20"/>
                    </w:rPr>
                  </w:pPr>
                  <w:r w:rsidRPr="0091074F">
                    <w:rPr>
                      <w:rFonts w:ascii="Calibri" w:hAnsi="Calibri"/>
                      <w:color w:val="000000"/>
                      <w:sz w:val="20"/>
                      <w:szCs w:val="20"/>
                    </w:rPr>
                    <w:t>465255</w:t>
                  </w:r>
                </w:p>
              </w:tc>
              <w:tc>
                <w:tcPr>
                  <w:tcW w:w="1400" w:type="dxa"/>
                  <w:vAlign w:val="bottom"/>
                </w:tcPr>
                <w:p w14:paraId="0325F422" w14:textId="587BE01D" w:rsidR="0007740A" w:rsidRPr="00036409" w:rsidRDefault="0007740A" w:rsidP="0007740A">
                  <w:pPr>
                    <w:tabs>
                      <w:tab w:val="right" w:pos="6732"/>
                    </w:tabs>
                    <w:rPr>
                      <w:rFonts w:cstheme="minorHAnsi"/>
                      <w:sz w:val="20"/>
                      <w:szCs w:val="20"/>
                    </w:rPr>
                  </w:pPr>
                  <w:r w:rsidRPr="0091074F">
                    <w:rPr>
                      <w:rFonts w:ascii="Calibri" w:hAnsi="Calibri"/>
                      <w:color w:val="000000"/>
                      <w:sz w:val="20"/>
                      <w:szCs w:val="20"/>
                    </w:rPr>
                    <w:t>465273</w:t>
                  </w:r>
                </w:p>
              </w:tc>
              <w:tc>
                <w:tcPr>
                  <w:tcW w:w="2668" w:type="dxa"/>
                  <w:tcBorders>
                    <w:top w:val="nil"/>
                    <w:left w:val="single" w:sz="4" w:space="0" w:color="auto"/>
                    <w:bottom w:val="single" w:sz="4" w:space="0" w:color="auto"/>
                    <w:right w:val="single" w:sz="4" w:space="0" w:color="auto"/>
                  </w:tcBorders>
                  <w:shd w:val="clear" w:color="000000" w:fill="FFFFFF"/>
                  <w:vAlign w:val="bottom"/>
                </w:tcPr>
                <w:p w14:paraId="57D5426A" w14:textId="564C7313" w:rsidR="0007740A" w:rsidRDefault="0007740A" w:rsidP="0007740A">
                  <w:pPr>
                    <w:tabs>
                      <w:tab w:val="right" w:pos="6732"/>
                    </w:tabs>
                    <w:rPr>
                      <w:rFonts w:ascii="Calibri" w:hAnsi="Calibri"/>
                      <w:color w:val="000000"/>
                      <w:szCs w:val="22"/>
                    </w:rPr>
                  </w:pPr>
                  <w:r>
                    <w:rPr>
                      <w:rFonts w:ascii="Calibri" w:hAnsi="Calibri"/>
                      <w:color w:val="000000"/>
                      <w:sz w:val="20"/>
                      <w:szCs w:val="20"/>
                    </w:rPr>
                    <w:t>LED Fixture: High/Low Bay, 125 LPW to &lt;135 LPW, 187 to &lt;212 W</w:t>
                  </w:r>
                </w:p>
              </w:tc>
              <w:tc>
                <w:tcPr>
                  <w:tcW w:w="1440" w:type="dxa"/>
                  <w:tcBorders>
                    <w:top w:val="nil"/>
                    <w:left w:val="single" w:sz="4" w:space="0" w:color="auto"/>
                    <w:bottom w:val="single" w:sz="4" w:space="0" w:color="auto"/>
                    <w:right w:val="single" w:sz="4" w:space="0" w:color="auto"/>
                  </w:tcBorders>
                  <w:shd w:val="clear" w:color="auto" w:fill="auto"/>
                  <w:vAlign w:val="bottom"/>
                </w:tcPr>
                <w:p w14:paraId="279DE30D" w14:textId="5C057137" w:rsidR="0007740A" w:rsidRPr="00036409" w:rsidRDefault="0007740A" w:rsidP="0007740A">
                  <w:pPr>
                    <w:tabs>
                      <w:tab w:val="right" w:pos="6732"/>
                    </w:tabs>
                    <w:rPr>
                      <w:rFonts w:cstheme="minorHAnsi"/>
                      <w:sz w:val="20"/>
                      <w:szCs w:val="20"/>
                    </w:rPr>
                  </w:pPr>
                  <w:r>
                    <w:rPr>
                      <w:rFonts w:ascii="Calibri" w:hAnsi="Calibri"/>
                      <w:color w:val="000000"/>
                      <w:szCs w:val="22"/>
                    </w:rPr>
                    <w:t>LEDFixt(211.99w)</w:t>
                  </w:r>
                </w:p>
              </w:tc>
              <w:tc>
                <w:tcPr>
                  <w:tcW w:w="990" w:type="dxa"/>
                  <w:tcBorders>
                    <w:top w:val="nil"/>
                    <w:left w:val="single" w:sz="4" w:space="0" w:color="auto"/>
                    <w:bottom w:val="single" w:sz="4" w:space="0" w:color="auto"/>
                    <w:right w:val="single" w:sz="4" w:space="0" w:color="auto"/>
                  </w:tcBorders>
                  <w:shd w:val="clear" w:color="auto" w:fill="auto"/>
                  <w:vAlign w:val="bottom"/>
                </w:tcPr>
                <w:p w14:paraId="6F1C3F97" w14:textId="311B59B0" w:rsidR="0007740A" w:rsidRPr="00036409" w:rsidRDefault="0007740A" w:rsidP="0007740A">
                  <w:pPr>
                    <w:tabs>
                      <w:tab w:val="right" w:pos="6732"/>
                    </w:tabs>
                    <w:rPr>
                      <w:rFonts w:cstheme="minorHAnsi"/>
                      <w:sz w:val="20"/>
                      <w:szCs w:val="20"/>
                    </w:rPr>
                  </w:pPr>
                  <w:r>
                    <w:rPr>
                      <w:rFonts w:ascii="Calibri" w:hAnsi="Calibri"/>
                      <w:color w:val="000000"/>
                      <w:szCs w:val="22"/>
                    </w:rPr>
                    <w:t xml:space="preserve"> $ 33.33 </w:t>
                  </w:r>
                </w:p>
              </w:tc>
              <w:tc>
                <w:tcPr>
                  <w:tcW w:w="1199" w:type="dxa"/>
                  <w:tcBorders>
                    <w:top w:val="nil"/>
                    <w:left w:val="single" w:sz="4" w:space="0" w:color="auto"/>
                    <w:bottom w:val="single" w:sz="4" w:space="0" w:color="auto"/>
                    <w:right w:val="single" w:sz="4" w:space="0" w:color="auto"/>
                  </w:tcBorders>
                  <w:shd w:val="clear" w:color="auto" w:fill="auto"/>
                  <w:vAlign w:val="bottom"/>
                </w:tcPr>
                <w:p w14:paraId="7E153699" w14:textId="673F28E1" w:rsidR="0007740A" w:rsidRPr="00E07FAA" w:rsidRDefault="0007740A" w:rsidP="0007740A">
                  <w:pPr>
                    <w:tabs>
                      <w:tab w:val="right" w:pos="6732"/>
                    </w:tabs>
                    <w:rPr>
                      <w:rFonts w:cstheme="minorHAnsi"/>
                      <w:sz w:val="20"/>
                      <w:szCs w:val="20"/>
                    </w:rPr>
                  </w:pPr>
                  <w:r>
                    <w:rPr>
                      <w:rFonts w:ascii="Calibri" w:hAnsi="Calibri"/>
                      <w:color w:val="000000"/>
                      <w:szCs w:val="22"/>
                    </w:rPr>
                    <w:t xml:space="preserve"> $ 33.33 </w:t>
                  </w:r>
                </w:p>
              </w:tc>
            </w:tr>
            <w:tr w:rsidR="0007740A" w:rsidRPr="00036409" w14:paraId="6A7BE1D5" w14:textId="77777777" w:rsidTr="0007740A">
              <w:tc>
                <w:tcPr>
                  <w:tcW w:w="1157" w:type="dxa"/>
                  <w:vAlign w:val="bottom"/>
                </w:tcPr>
                <w:p w14:paraId="7BC98A76" w14:textId="23519E8D" w:rsidR="0007740A" w:rsidRDefault="0007740A" w:rsidP="0007740A">
                  <w:pPr>
                    <w:tabs>
                      <w:tab w:val="right" w:pos="6732"/>
                    </w:tabs>
                    <w:rPr>
                      <w:rFonts w:cstheme="minorHAnsi"/>
                      <w:sz w:val="20"/>
                      <w:szCs w:val="20"/>
                    </w:rPr>
                  </w:pPr>
                  <w:r w:rsidRPr="0091074F">
                    <w:rPr>
                      <w:rFonts w:ascii="Calibri" w:hAnsi="Calibri"/>
                      <w:color w:val="000000"/>
                      <w:sz w:val="20"/>
                      <w:szCs w:val="20"/>
                    </w:rPr>
                    <w:lastRenderedPageBreak/>
                    <w:t>465256</w:t>
                  </w:r>
                </w:p>
              </w:tc>
              <w:tc>
                <w:tcPr>
                  <w:tcW w:w="1400" w:type="dxa"/>
                  <w:vAlign w:val="bottom"/>
                </w:tcPr>
                <w:p w14:paraId="7DD1D663" w14:textId="0D3C597F" w:rsidR="0007740A" w:rsidRPr="00036409" w:rsidRDefault="0007740A" w:rsidP="0007740A">
                  <w:pPr>
                    <w:tabs>
                      <w:tab w:val="right" w:pos="6732"/>
                    </w:tabs>
                    <w:rPr>
                      <w:rFonts w:cstheme="minorHAnsi"/>
                      <w:sz w:val="20"/>
                      <w:szCs w:val="20"/>
                    </w:rPr>
                  </w:pPr>
                  <w:r w:rsidRPr="0091074F">
                    <w:rPr>
                      <w:rFonts w:ascii="Calibri" w:hAnsi="Calibri"/>
                      <w:color w:val="000000"/>
                      <w:sz w:val="20"/>
                      <w:szCs w:val="20"/>
                    </w:rPr>
                    <w:t>465274</w:t>
                  </w:r>
                </w:p>
              </w:tc>
              <w:tc>
                <w:tcPr>
                  <w:tcW w:w="2668" w:type="dxa"/>
                  <w:tcBorders>
                    <w:top w:val="nil"/>
                    <w:left w:val="single" w:sz="4" w:space="0" w:color="auto"/>
                    <w:bottom w:val="single" w:sz="4" w:space="0" w:color="auto"/>
                    <w:right w:val="single" w:sz="4" w:space="0" w:color="auto"/>
                  </w:tcBorders>
                  <w:shd w:val="clear" w:color="000000" w:fill="FFFFFF"/>
                  <w:vAlign w:val="bottom"/>
                </w:tcPr>
                <w:p w14:paraId="04942AE6" w14:textId="4DE77672" w:rsidR="0007740A" w:rsidRDefault="0007740A" w:rsidP="0007740A">
                  <w:pPr>
                    <w:tabs>
                      <w:tab w:val="right" w:pos="6732"/>
                    </w:tabs>
                    <w:rPr>
                      <w:rFonts w:ascii="Calibri" w:hAnsi="Calibri"/>
                      <w:color w:val="000000"/>
                      <w:szCs w:val="22"/>
                    </w:rPr>
                  </w:pPr>
                  <w:r>
                    <w:rPr>
                      <w:rFonts w:ascii="Calibri" w:hAnsi="Calibri"/>
                      <w:color w:val="000000"/>
                      <w:sz w:val="20"/>
                      <w:szCs w:val="20"/>
                    </w:rPr>
                    <w:t>LED Fixture: High/Low Bay, &gt;=135 LPW, 174 to &lt;194 W</w:t>
                  </w:r>
                </w:p>
              </w:tc>
              <w:tc>
                <w:tcPr>
                  <w:tcW w:w="1440" w:type="dxa"/>
                  <w:tcBorders>
                    <w:top w:val="nil"/>
                    <w:left w:val="single" w:sz="4" w:space="0" w:color="auto"/>
                    <w:bottom w:val="single" w:sz="4" w:space="0" w:color="auto"/>
                    <w:right w:val="single" w:sz="4" w:space="0" w:color="auto"/>
                  </w:tcBorders>
                  <w:shd w:val="clear" w:color="auto" w:fill="auto"/>
                  <w:vAlign w:val="bottom"/>
                </w:tcPr>
                <w:p w14:paraId="761A882D" w14:textId="59F0C3CB" w:rsidR="0007740A" w:rsidRPr="00036409" w:rsidRDefault="0007740A" w:rsidP="0007740A">
                  <w:pPr>
                    <w:tabs>
                      <w:tab w:val="right" w:pos="6732"/>
                    </w:tabs>
                    <w:rPr>
                      <w:rFonts w:cstheme="minorHAnsi"/>
                      <w:sz w:val="20"/>
                      <w:szCs w:val="20"/>
                    </w:rPr>
                  </w:pPr>
                  <w:r>
                    <w:rPr>
                      <w:rFonts w:ascii="Calibri" w:hAnsi="Calibri"/>
                      <w:color w:val="000000"/>
                      <w:szCs w:val="22"/>
                    </w:rPr>
                    <w:t>LEDFixt(193.99w)</w:t>
                  </w:r>
                </w:p>
              </w:tc>
              <w:tc>
                <w:tcPr>
                  <w:tcW w:w="990" w:type="dxa"/>
                  <w:tcBorders>
                    <w:top w:val="nil"/>
                    <w:left w:val="single" w:sz="4" w:space="0" w:color="auto"/>
                    <w:bottom w:val="single" w:sz="4" w:space="0" w:color="auto"/>
                    <w:right w:val="single" w:sz="4" w:space="0" w:color="auto"/>
                  </w:tcBorders>
                  <w:shd w:val="clear" w:color="auto" w:fill="auto"/>
                  <w:vAlign w:val="bottom"/>
                </w:tcPr>
                <w:p w14:paraId="72E71C0F" w14:textId="014C73A8" w:rsidR="0007740A" w:rsidRPr="00036409" w:rsidRDefault="0007740A" w:rsidP="0007740A">
                  <w:pPr>
                    <w:tabs>
                      <w:tab w:val="right" w:pos="6732"/>
                    </w:tabs>
                    <w:rPr>
                      <w:rFonts w:cstheme="minorHAnsi"/>
                      <w:sz w:val="20"/>
                      <w:szCs w:val="20"/>
                    </w:rPr>
                  </w:pPr>
                  <w:r>
                    <w:rPr>
                      <w:rFonts w:ascii="Calibri" w:hAnsi="Calibri"/>
                      <w:color w:val="000000"/>
                      <w:szCs w:val="22"/>
                    </w:rPr>
                    <w:t xml:space="preserve"> $ 55.00 </w:t>
                  </w:r>
                </w:p>
              </w:tc>
              <w:tc>
                <w:tcPr>
                  <w:tcW w:w="1199" w:type="dxa"/>
                  <w:tcBorders>
                    <w:top w:val="nil"/>
                    <w:left w:val="single" w:sz="4" w:space="0" w:color="auto"/>
                    <w:bottom w:val="single" w:sz="4" w:space="0" w:color="auto"/>
                    <w:right w:val="single" w:sz="4" w:space="0" w:color="auto"/>
                  </w:tcBorders>
                  <w:shd w:val="clear" w:color="auto" w:fill="auto"/>
                  <w:vAlign w:val="bottom"/>
                </w:tcPr>
                <w:p w14:paraId="272C5314" w14:textId="6ED7473E" w:rsidR="0007740A" w:rsidRPr="00E07FAA" w:rsidRDefault="0007740A" w:rsidP="0007740A">
                  <w:pPr>
                    <w:tabs>
                      <w:tab w:val="right" w:pos="6732"/>
                    </w:tabs>
                    <w:rPr>
                      <w:rFonts w:cstheme="minorHAnsi"/>
                      <w:sz w:val="20"/>
                      <w:szCs w:val="20"/>
                    </w:rPr>
                  </w:pPr>
                  <w:r>
                    <w:rPr>
                      <w:rFonts w:ascii="Calibri" w:hAnsi="Calibri"/>
                      <w:color w:val="000000"/>
                      <w:szCs w:val="22"/>
                    </w:rPr>
                    <w:t xml:space="preserve"> $ 55.00 </w:t>
                  </w:r>
                </w:p>
              </w:tc>
            </w:tr>
            <w:tr w:rsidR="0007740A" w:rsidRPr="00036409" w14:paraId="274F9C5B" w14:textId="77777777" w:rsidTr="0007740A">
              <w:tc>
                <w:tcPr>
                  <w:tcW w:w="1157" w:type="dxa"/>
                  <w:vAlign w:val="bottom"/>
                </w:tcPr>
                <w:p w14:paraId="2D9391BB" w14:textId="5F42218B" w:rsidR="0007740A" w:rsidRDefault="0007740A" w:rsidP="0007740A">
                  <w:pPr>
                    <w:tabs>
                      <w:tab w:val="right" w:pos="6732"/>
                    </w:tabs>
                    <w:rPr>
                      <w:rFonts w:cstheme="minorHAnsi"/>
                      <w:sz w:val="20"/>
                      <w:szCs w:val="20"/>
                    </w:rPr>
                  </w:pPr>
                  <w:r w:rsidRPr="0091074F">
                    <w:rPr>
                      <w:rFonts w:ascii="Calibri" w:hAnsi="Calibri"/>
                      <w:color w:val="000000"/>
                      <w:sz w:val="20"/>
                      <w:szCs w:val="20"/>
                    </w:rPr>
                    <w:t>465257</w:t>
                  </w:r>
                </w:p>
              </w:tc>
              <w:tc>
                <w:tcPr>
                  <w:tcW w:w="1400" w:type="dxa"/>
                  <w:vAlign w:val="bottom"/>
                </w:tcPr>
                <w:p w14:paraId="114A7540" w14:textId="070DCB7C" w:rsidR="0007740A" w:rsidRPr="00036409" w:rsidRDefault="0007740A" w:rsidP="0007740A">
                  <w:pPr>
                    <w:tabs>
                      <w:tab w:val="right" w:pos="6732"/>
                    </w:tabs>
                    <w:rPr>
                      <w:rFonts w:cstheme="minorHAnsi"/>
                      <w:sz w:val="20"/>
                      <w:szCs w:val="20"/>
                    </w:rPr>
                  </w:pPr>
                  <w:r w:rsidRPr="0091074F">
                    <w:rPr>
                      <w:rFonts w:ascii="Calibri" w:hAnsi="Calibri"/>
                      <w:color w:val="000000"/>
                      <w:sz w:val="20"/>
                      <w:szCs w:val="20"/>
                    </w:rPr>
                    <w:t>465275</w:t>
                  </w:r>
                </w:p>
              </w:tc>
              <w:tc>
                <w:tcPr>
                  <w:tcW w:w="2668" w:type="dxa"/>
                  <w:tcBorders>
                    <w:top w:val="nil"/>
                    <w:left w:val="single" w:sz="4" w:space="0" w:color="auto"/>
                    <w:bottom w:val="single" w:sz="4" w:space="0" w:color="auto"/>
                    <w:right w:val="single" w:sz="4" w:space="0" w:color="auto"/>
                  </w:tcBorders>
                  <w:shd w:val="clear" w:color="000000" w:fill="FFFFFF"/>
                  <w:vAlign w:val="bottom"/>
                </w:tcPr>
                <w:p w14:paraId="5480AEA3" w14:textId="43B7C563" w:rsidR="0007740A" w:rsidRDefault="0007740A" w:rsidP="0007740A">
                  <w:pPr>
                    <w:tabs>
                      <w:tab w:val="right" w:pos="6732"/>
                    </w:tabs>
                    <w:rPr>
                      <w:rFonts w:ascii="Calibri" w:hAnsi="Calibri"/>
                      <w:color w:val="000000"/>
                      <w:szCs w:val="22"/>
                    </w:rPr>
                  </w:pPr>
                  <w:r>
                    <w:rPr>
                      <w:rFonts w:ascii="Calibri" w:hAnsi="Calibri"/>
                      <w:color w:val="000000"/>
                      <w:sz w:val="20"/>
                      <w:szCs w:val="20"/>
                    </w:rPr>
                    <w:t>LED Fixture: High/Low Bay, 125 LPW to &lt;135 LPW, 212 to &lt;246 W</w:t>
                  </w:r>
                </w:p>
              </w:tc>
              <w:tc>
                <w:tcPr>
                  <w:tcW w:w="1440" w:type="dxa"/>
                  <w:tcBorders>
                    <w:top w:val="nil"/>
                    <w:left w:val="single" w:sz="4" w:space="0" w:color="auto"/>
                    <w:bottom w:val="single" w:sz="4" w:space="0" w:color="auto"/>
                    <w:right w:val="single" w:sz="4" w:space="0" w:color="auto"/>
                  </w:tcBorders>
                  <w:shd w:val="clear" w:color="auto" w:fill="auto"/>
                  <w:vAlign w:val="bottom"/>
                </w:tcPr>
                <w:p w14:paraId="7080C235" w14:textId="30F8D142" w:rsidR="0007740A" w:rsidRPr="00036409" w:rsidRDefault="0007740A" w:rsidP="0007740A">
                  <w:pPr>
                    <w:tabs>
                      <w:tab w:val="right" w:pos="6732"/>
                    </w:tabs>
                    <w:rPr>
                      <w:rFonts w:cstheme="minorHAnsi"/>
                      <w:sz w:val="20"/>
                      <w:szCs w:val="20"/>
                    </w:rPr>
                  </w:pPr>
                  <w:r>
                    <w:rPr>
                      <w:rFonts w:ascii="Calibri" w:hAnsi="Calibri"/>
                      <w:color w:val="000000"/>
                      <w:szCs w:val="22"/>
                    </w:rPr>
                    <w:t>LEDFixt(245.99w)</w:t>
                  </w:r>
                </w:p>
              </w:tc>
              <w:tc>
                <w:tcPr>
                  <w:tcW w:w="990" w:type="dxa"/>
                  <w:tcBorders>
                    <w:top w:val="nil"/>
                    <w:left w:val="single" w:sz="4" w:space="0" w:color="auto"/>
                    <w:bottom w:val="single" w:sz="4" w:space="0" w:color="auto"/>
                    <w:right w:val="single" w:sz="4" w:space="0" w:color="auto"/>
                  </w:tcBorders>
                  <w:shd w:val="clear" w:color="auto" w:fill="auto"/>
                  <w:vAlign w:val="bottom"/>
                </w:tcPr>
                <w:p w14:paraId="16A760AB" w14:textId="6CFDA8C7" w:rsidR="0007740A" w:rsidRPr="00036409" w:rsidRDefault="0007740A" w:rsidP="0007740A">
                  <w:pPr>
                    <w:tabs>
                      <w:tab w:val="right" w:pos="6732"/>
                    </w:tabs>
                    <w:rPr>
                      <w:rFonts w:cstheme="minorHAnsi"/>
                      <w:sz w:val="20"/>
                      <w:szCs w:val="20"/>
                    </w:rPr>
                  </w:pPr>
                  <w:r>
                    <w:rPr>
                      <w:rFonts w:ascii="Calibri" w:hAnsi="Calibri"/>
                      <w:color w:val="000000"/>
                      <w:szCs w:val="22"/>
                    </w:rPr>
                    <w:t xml:space="preserve"> $ 36.67 </w:t>
                  </w:r>
                </w:p>
              </w:tc>
              <w:tc>
                <w:tcPr>
                  <w:tcW w:w="1199" w:type="dxa"/>
                  <w:tcBorders>
                    <w:top w:val="nil"/>
                    <w:left w:val="single" w:sz="4" w:space="0" w:color="auto"/>
                    <w:bottom w:val="single" w:sz="4" w:space="0" w:color="auto"/>
                    <w:right w:val="single" w:sz="4" w:space="0" w:color="auto"/>
                  </w:tcBorders>
                  <w:shd w:val="clear" w:color="auto" w:fill="auto"/>
                  <w:vAlign w:val="bottom"/>
                </w:tcPr>
                <w:p w14:paraId="2E344BE0" w14:textId="30DD5040" w:rsidR="0007740A" w:rsidRPr="00E07FAA" w:rsidRDefault="0007740A" w:rsidP="0007740A">
                  <w:pPr>
                    <w:tabs>
                      <w:tab w:val="right" w:pos="6732"/>
                    </w:tabs>
                    <w:rPr>
                      <w:rFonts w:cstheme="minorHAnsi"/>
                      <w:sz w:val="20"/>
                      <w:szCs w:val="20"/>
                    </w:rPr>
                  </w:pPr>
                  <w:r>
                    <w:rPr>
                      <w:rFonts w:ascii="Calibri" w:hAnsi="Calibri"/>
                      <w:color w:val="000000"/>
                      <w:szCs w:val="22"/>
                    </w:rPr>
                    <w:t xml:space="preserve"> $ 36.67 </w:t>
                  </w:r>
                </w:p>
              </w:tc>
            </w:tr>
            <w:tr w:rsidR="0007740A" w:rsidRPr="00036409" w14:paraId="0D7B7B0C" w14:textId="77777777" w:rsidTr="0007740A">
              <w:tc>
                <w:tcPr>
                  <w:tcW w:w="1157" w:type="dxa"/>
                  <w:vAlign w:val="bottom"/>
                </w:tcPr>
                <w:p w14:paraId="342E0994" w14:textId="3743FC6F" w:rsidR="0007740A" w:rsidRDefault="0007740A" w:rsidP="0007740A">
                  <w:pPr>
                    <w:tabs>
                      <w:tab w:val="right" w:pos="6732"/>
                    </w:tabs>
                    <w:rPr>
                      <w:rFonts w:cstheme="minorHAnsi"/>
                      <w:sz w:val="20"/>
                      <w:szCs w:val="20"/>
                    </w:rPr>
                  </w:pPr>
                  <w:r w:rsidRPr="0091074F">
                    <w:rPr>
                      <w:rFonts w:ascii="Calibri" w:hAnsi="Calibri"/>
                      <w:color w:val="000000"/>
                      <w:sz w:val="20"/>
                      <w:szCs w:val="20"/>
                    </w:rPr>
                    <w:t>465258</w:t>
                  </w:r>
                </w:p>
              </w:tc>
              <w:tc>
                <w:tcPr>
                  <w:tcW w:w="1400" w:type="dxa"/>
                  <w:vAlign w:val="bottom"/>
                </w:tcPr>
                <w:p w14:paraId="65324748" w14:textId="4638047E" w:rsidR="0007740A" w:rsidRPr="00036409" w:rsidRDefault="0007740A" w:rsidP="0007740A">
                  <w:pPr>
                    <w:tabs>
                      <w:tab w:val="right" w:pos="6732"/>
                    </w:tabs>
                    <w:rPr>
                      <w:rFonts w:cstheme="minorHAnsi"/>
                      <w:sz w:val="20"/>
                      <w:szCs w:val="20"/>
                    </w:rPr>
                  </w:pPr>
                  <w:r w:rsidRPr="0091074F">
                    <w:rPr>
                      <w:rFonts w:ascii="Calibri" w:hAnsi="Calibri"/>
                      <w:color w:val="000000"/>
                      <w:sz w:val="20"/>
                      <w:szCs w:val="20"/>
                    </w:rPr>
                    <w:t>465276</w:t>
                  </w:r>
                </w:p>
              </w:tc>
              <w:tc>
                <w:tcPr>
                  <w:tcW w:w="2668" w:type="dxa"/>
                  <w:tcBorders>
                    <w:top w:val="nil"/>
                    <w:left w:val="single" w:sz="4" w:space="0" w:color="auto"/>
                    <w:bottom w:val="single" w:sz="4" w:space="0" w:color="auto"/>
                    <w:right w:val="single" w:sz="4" w:space="0" w:color="auto"/>
                  </w:tcBorders>
                  <w:shd w:val="clear" w:color="000000" w:fill="FFFFFF"/>
                  <w:vAlign w:val="bottom"/>
                </w:tcPr>
                <w:p w14:paraId="0EC4C226" w14:textId="7C1C35DC" w:rsidR="0007740A" w:rsidRDefault="0007740A" w:rsidP="0007740A">
                  <w:pPr>
                    <w:tabs>
                      <w:tab w:val="right" w:pos="6732"/>
                    </w:tabs>
                    <w:rPr>
                      <w:rFonts w:ascii="Calibri" w:hAnsi="Calibri"/>
                      <w:color w:val="000000"/>
                      <w:szCs w:val="22"/>
                    </w:rPr>
                  </w:pPr>
                  <w:r>
                    <w:rPr>
                      <w:rFonts w:ascii="Calibri" w:hAnsi="Calibri"/>
                      <w:color w:val="000000"/>
                      <w:sz w:val="20"/>
                      <w:szCs w:val="20"/>
                    </w:rPr>
                    <w:t>LED Fixture: High/Low Bay, &gt;=135 LPW, 194 to &lt;227 W</w:t>
                  </w:r>
                </w:p>
              </w:tc>
              <w:tc>
                <w:tcPr>
                  <w:tcW w:w="1440" w:type="dxa"/>
                  <w:tcBorders>
                    <w:top w:val="nil"/>
                    <w:left w:val="single" w:sz="4" w:space="0" w:color="auto"/>
                    <w:bottom w:val="single" w:sz="4" w:space="0" w:color="auto"/>
                    <w:right w:val="single" w:sz="4" w:space="0" w:color="auto"/>
                  </w:tcBorders>
                  <w:shd w:val="clear" w:color="auto" w:fill="auto"/>
                  <w:vAlign w:val="bottom"/>
                </w:tcPr>
                <w:p w14:paraId="54E59129" w14:textId="409AD406" w:rsidR="0007740A" w:rsidRPr="00036409" w:rsidRDefault="0007740A" w:rsidP="0007740A">
                  <w:pPr>
                    <w:tabs>
                      <w:tab w:val="right" w:pos="6732"/>
                    </w:tabs>
                    <w:rPr>
                      <w:rFonts w:cstheme="minorHAnsi"/>
                      <w:sz w:val="20"/>
                      <w:szCs w:val="20"/>
                    </w:rPr>
                  </w:pPr>
                  <w:r>
                    <w:rPr>
                      <w:rFonts w:ascii="Calibri" w:hAnsi="Calibri"/>
                      <w:color w:val="000000"/>
                      <w:szCs w:val="22"/>
                    </w:rPr>
                    <w:t>LEDFixt(226.99w)</w:t>
                  </w:r>
                </w:p>
              </w:tc>
              <w:tc>
                <w:tcPr>
                  <w:tcW w:w="990" w:type="dxa"/>
                  <w:tcBorders>
                    <w:top w:val="nil"/>
                    <w:left w:val="single" w:sz="4" w:space="0" w:color="auto"/>
                    <w:bottom w:val="single" w:sz="4" w:space="0" w:color="auto"/>
                    <w:right w:val="single" w:sz="4" w:space="0" w:color="auto"/>
                  </w:tcBorders>
                  <w:shd w:val="clear" w:color="auto" w:fill="auto"/>
                  <w:vAlign w:val="bottom"/>
                </w:tcPr>
                <w:p w14:paraId="05FEC357" w14:textId="5A40D5B3" w:rsidR="0007740A" w:rsidRPr="00036409" w:rsidRDefault="0007740A" w:rsidP="0007740A">
                  <w:pPr>
                    <w:tabs>
                      <w:tab w:val="right" w:pos="6732"/>
                    </w:tabs>
                    <w:rPr>
                      <w:rFonts w:cstheme="minorHAnsi"/>
                      <w:sz w:val="20"/>
                      <w:szCs w:val="20"/>
                    </w:rPr>
                  </w:pPr>
                  <w:r>
                    <w:rPr>
                      <w:rFonts w:ascii="Calibri" w:hAnsi="Calibri"/>
                      <w:color w:val="000000"/>
                      <w:szCs w:val="22"/>
                    </w:rPr>
                    <w:t xml:space="preserve"> $ 60.50 </w:t>
                  </w:r>
                </w:p>
              </w:tc>
              <w:tc>
                <w:tcPr>
                  <w:tcW w:w="1199" w:type="dxa"/>
                  <w:tcBorders>
                    <w:top w:val="nil"/>
                    <w:left w:val="single" w:sz="4" w:space="0" w:color="auto"/>
                    <w:bottom w:val="single" w:sz="4" w:space="0" w:color="auto"/>
                    <w:right w:val="single" w:sz="4" w:space="0" w:color="auto"/>
                  </w:tcBorders>
                  <w:shd w:val="clear" w:color="auto" w:fill="auto"/>
                  <w:vAlign w:val="bottom"/>
                </w:tcPr>
                <w:p w14:paraId="1998943C" w14:textId="35A9655E" w:rsidR="0007740A" w:rsidRPr="00E07FAA" w:rsidRDefault="0007740A" w:rsidP="0007740A">
                  <w:pPr>
                    <w:tabs>
                      <w:tab w:val="right" w:pos="6732"/>
                    </w:tabs>
                    <w:rPr>
                      <w:rFonts w:cstheme="minorHAnsi"/>
                      <w:sz w:val="20"/>
                      <w:szCs w:val="20"/>
                    </w:rPr>
                  </w:pPr>
                  <w:r>
                    <w:rPr>
                      <w:rFonts w:ascii="Calibri" w:hAnsi="Calibri"/>
                      <w:color w:val="000000"/>
                      <w:szCs w:val="22"/>
                    </w:rPr>
                    <w:t xml:space="preserve"> $ 60.50 </w:t>
                  </w:r>
                </w:p>
              </w:tc>
            </w:tr>
            <w:tr w:rsidR="0007740A" w:rsidRPr="00036409" w14:paraId="06C627FA" w14:textId="77777777" w:rsidTr="0007740A">
              <w:tc>
                <w:tcPr>
                  <w:tcW w:w="1157" w:type="dxa"/>
                  <w:vAlign w:val="bottom"/>
                </w:tcPr>
                <w:p w14:paraId="552C2624" w14:textId="6E112B44" w:rsidR="0007740A" w:rsidRDefault="0007740A" w:rsidP="0007740A">
                  <w:pPr>
                    <w:tabs>
                      <w:tab w:val="right" w:pos="6732"/>
                    </w:tabs>
                    <w:rPr>
                      <w:rFonts w:cstheme="minorHAnsi"/>
                      <w:sz w:val="20"/>
                      <w:szCs w:val="20"/>
                    </w:rPr>
                  </w:pPr>
                  <w:r w:rsidRPr="0091074F">
                    <w:rPr>
                      <w:rFonts w:ascii="Calibri" w:hAnsi="Calibri"/>
                      <w:color w:val="000000"/>
                      <w:sz w:val="20"/>
                      <w:szCs w:val="20"/>
                    </w:rPr>
                    <w:t>465259</w:t>
                  </w:r>
                </w:p>
              </w:tc>
              <w:tc>
                <w:tcPr>
                  <w:tcW w:w="1400" w:type="dxa"/>
                  <w:vAlign w:val="bottom"/>
                </w:tcPr>
                <w:p w14:paraId="19C0286B" w14:textId="23B5B336" w:rsidR="0007740A" w:rsidRPr="00036409" w:rsidRDefault="0007740A" w:rsidP="0007740A">
                  <w:pPr>
                    <w:tabs>
                      <w:tab w:val="right" w:pos="6732"/>
                    </w:tabs>
                    <w:rPr>
                      <w:rFonts w:cstheme="minorHAnsi"/>
                      <w:sz w:val="20"/>
                      <w:szCs w:val="20"/>
                    </w:rPr>
                  </w:pPr>
                  <w:r w:rsidRPr="0091074F">
                    <w:rPr>
                      <w:rFonts w:ascii="Calibri" w:hAnsi="Calibri"/>
                      <w:color w:val="000000"/>
                      <w:sz w:val="20"/>
                      <w:szCs w:val="20"/>
                    </w:rPr>
                    <w:t>465277</w:t>
                  </w:r>
                </w:p>
              </w:tc>
              <w:tc>
                <w:tcPr>
                  <w:tcW w:w="2668" w:type="dxa"/>
                  <w:tcBorders>
                    <w:top w:val="nil"/>
                    <w:left w:val="single" w:sz="4" w:space="0" w:color="auto"/>
                    <w:bottom w:val="single" w:sz="4" w:space="0" w:color="auto"/>
                    <w:right w:val="single" w:sz="4" w:space="0" w:color="auto"/>
                  </w:tcBorders>
                  <w:shd w:val="clear" w:color="000000" w:fill="FFFFFF"/>
                  <w:vAlign w:val="bottom"/>
                </w:tcPr>
                <w:p w14:paraId="2F41518E" w14:textId="614B4363" w:rsidR="0007740A" w:rsidRDefault="0007740A" w:rsidP="0007740A">
                  <w:pPr>
                    <w:tabs>
                      <w:tab w:val="right" w:pos="6732"/>
                    </w:tabs>
                    <w:rPr>
                      <w:rFonts w:ascii="Calibri" w:hAnsi="Calibri"/>
                      <w:color w:val="000000"/>
                      <w:szCs w:val="22"/>
                    </w:rPr>
                  </w:pPr>
                  <w:r>
                    <w:rPr>
                      <w:rFonts w:ascii="Calibri" w:hAnsi="Calibri"/>
                      <w:color w:val="000000"/>
                      <w:sz w:val="20"/>
                      <w:szCs w:val="20"/>
                    </w:rPr>
                    <w:t>LED Fixture: High/Low Bay, &gt;=135 LPW, 227 to &lt;262 W</w:t>
                  </w:r>
                </w:p>
              </w:tc>
              <w:tc>
                <w:tcPr>
                  <w:tcW w:w="1440" w:type="dxa"/>
                  <w:tcBorders>
                    <w:top w:val="nil"/>
                    <w:left w:val="single" w:sz="4" w:space="0" w:color="auto"/>
                    <w:bottom w:val="single" w:sz="4" w:space="0" w:color="auto"/>
                    <w:right w:val="single" w:sz="4" w:space="0" w:color="auto"/>
                  </w:tcBorders>
                  <w:shd w:val="clear" w:color="auto" w:fill="auto"/>
                  <w:vAlign w:val="bottom"/>
                </w:tcPr>
                <w:p w14:paraId="7BDB5594" w14:textId="52D422A1" w:rsidR="0007740A" w:rsidRPr="00036409" w:rsidRDefault="0007740A" w:rsidP="0007740A">
                  <w:pPr>
                    <w:tabs>
                      <w:tab w:val="right" w:pos="6732"/>
                    </w:tabs>
                    <w:rPr>
                      <w:rFonts w:cstheme="minorHAnsi"/>
                      <w:sz w:val="20"/>
                      <w:szCs w:val="20"/>
                    </w:rPr>
                  </w:pPr>
                  <w:r>
                    <w:rPr>
                      <w:rFonts w:ascii="Calibri" w:hAnsi="Calibri"/>
                      <w:color w:val="000000"/>
                      <w:szCs w:val="22"/>
                    </w:rPr>
                    <w:t>LEDFixt(261.99w)</w:t>
                  </w:r>
                </w:p>
              </w:tc>
              <w:tc>
                <w:tcPr>
                  <w:tcW w:w="990" w:type="dxa"/>
                  <w:tcBorders>
                    <w:top w:val="nil"/>
                    <w:left w:val="single" w:sz="4" w:space="0" w:color="auto"/>
                    <w:bottom w:val="single" w:sz="4" w:space="0" w:color="auto"/>
                    <w:right w:val="single" w:sz="4" w:space="0" w:color="auto"/>
                  </w:tcBorders>
                  <w:shd w:val="clear" w:color="auto" w:fill="auto"/>
                  <w:vAlign w:val="bottom"/>
                </w:tcPr>
                <w:p w14:paraId="286EFE43" w14:textId="04531FB4" w:rsidR="0007740A" w:rsidRPr="00036409" w:rsidRDefault="0007740A" w:rsidP="0007740A">
                  <w:pPr>
                    <w:tabs>
                      <w:tab w:val="right" w:pos="6732"/>
                    </w:tabs>
                    <w:rPr>
                      <w:rFonts w:cstheme="minorHAnsi"/>
                      <w:sz w:val="20"/>
                      <w:szCs w:val="20"/>
                    </w:rPr>
                  </w:pPr>
                  <w:r>
                    <w:rPr>
                      <w:rFonts w:ascii="Calibri" w:hAnsi="Calibri"/>
                      <w:color w:val="000000"/>
                      <w:szCs w:val="22"/>
                    </w:rPr>
                    <w:t xml:space="preserve"> $ 66.00 </w:t>
                  </w:r>
                </w:p>
              </w:tc>
              <w:tc>
                <w:tcPr>
                  <w:tcW w:w="1199" w:type="dxa"/>
                  <w:tcBorders>
                    <w:top w:val="nil"/>
                    <w:left w:val="single" w:sz="4" w:space="0" w:color="auto"/>
                    <w:bottom w:val="single" w:sz="4" w:space="0" w:color="auto"/>
                    <w:right w:val="single" w:sz="4" w:space="0" w:color="auto"/>
                  </w:tcBorders>
                  <w:shd w:val="clear" w:color="auto" w:fill="auto"/>
                  <w:vAlign w:val="bottom"/>
                </w:tcPr>
                <w:p w14:paraId="451D0E9B" w14:textId="0106B013" w:rsidR="0007740A" w:rsidRPr="00E07FAA" w:rsidRDefault="0007740A" w:rsidP="0007740A">
                  <w:pPr>
                    <w:tabs>
                      <w:tab w:val="right" w:pos="6732"/>
                    </w:tabs>
                    <w:rPr>
                      <w:rFonts w:cstheme="minorHAnsi"/>
                      <w:sz w:val="20"/>
                      <w:szCs w:val="20"/>
                    </w:rPr>
                  </w:pPr>
                  <w:r>
                    <w:rPr>
                      <w:rFonts w:ascii="Calibri" w:hAnsi="Calibri"/>
                      <w:color w:val="000000"/>
                      <w:szCs w:val="22"/>
                    </w:rPr>
                    <w:t xml:space="preserve"> $ 66.00 </w:t>
                  </w:r>
                </w:p>
              </w:tc>
            </w:tr>
            <w:tr w:rsidR="0007740A" w:rsidRPr="00036409" w14:paraId="13D60139" w14:textId="77777777" w:rsidTr="0007740A">
              <w:tc>
                <w:tcPr>
                  <w:tcW w:w="1157" w:type="dxa"/>
                  <w:vAlign w:val="bottom"/>
                </w:tcPr>
                <w:p w14:paraId="7AF86939" w14:textId="4F367A57" w:rsidR="0007740A" w:rsidRDefault="0007740A" w:rsidP="0007740A">
                  <w:pPr>
                    <w:tabs>
                      <w:tab w:val="right" w:pos="6732"/>
                    </w:tabs>
                    <w:rPr>
                      <w:rFonts w:cstheme="minorHAnsi"/>
                      <w:sz w:val="20"/>
                      <w:szCs w:val="20"/>
                    </w:rPr>
                  </w:pPr>
                  <w:r w:rsidRPr="0091074F">
                    <w:rPr>
                      <w:rFonts w:ascii="Calibri" w:hAnsi="Calibri"/>
                      <w:color w:val="000000"/>
                      <w:sz w:val="20"/>
                      <w:szCs w:val="20"/>
                    </w:rPr>
                    <w:t>465260</w:t>
                  </w:r>
                </w:p>
              </w:tc>
              <w:tc>
                <w:tcPr>
                  <w:tcW w:w="1400" w:type="dxa"/>
                  <w:vAlign w:val="bottom"/>
                </w:tcPr>
                <w:p w14:paraId="26E9B3E2" w14:textId="78003507" w:rsidR="0007740A" w:rsidRPr="00036409" w:rsidRDefault="0007740A" w:rsidP="0007740A">
                  <w:pPr>
                    <w:tabs>
                      <w:tab w:val="right" w:pos="6732"/>
                    </w:tabs>
                    <w:rPr>
                      <w:rFonts w:cstheme="minorHAnsi"/>
                      <w:sz w:val="20"/>
                      <w:szCs w:val="20"/>
                    </w:rPr>
                  </w:pPr>
                  <w:r w:rsidRPr="0091074F">
                    <w:rPr>
                      <w:rFonts w:ascii="Calibri" w:hAnsi="Calibri"/>
                      <w:color w:val="000000"/>
                      <w:sz w:val="20"/>
                      <w:szCs w:val="20"/>
                    </w:rPr>
                    <w:t>465278</w:t>
                  </w:r>
                </w:p>
              </w:tc>
              <w:tc>
                <w:tcPr>
                  <w:tcW w:w="2668" w:type="dxa"/>
                  <w:tcBorders>
                    <w:top w:val="nil"/>
                    <w:left w:val="single" w:sz="4" w:space="0" w:color="auto"/>
                    <w:bottom w:val="single" w:sz="4" w:space="0" w:color="auto"/>
                    <w:right w:val="single" w:sz="4" w:space="0" w:color="auto"/>
                  </w:tcBorders>
                  <w:shd w:val="clear" w:color="000000" w:fill="FFFFFF"/>
                  <w:vAlign w:val="bottom"/>
                </w:tcPr>
                <w:p w14:paraId="1CD8D2A0" w14:textId="1F652095" w:rsidR="0007740A" w:rsidRDefault="0007740A" w:rsidP="0007740A">
                  <w:pPr>
                    <w:tabs>
                      <w:tab w:val="right" w:pos="6732"/>
                    </w:tabs>
                    <w:rPr>
                      <w:rFonts w:ascii="Calibri" w:hAnsi="Calibri"/>
                      <w:color w:val="000000"/>
                      <w:szCs w:val="22"/>
                    </w:rPr>
                  </w:pPr>
                  <w:r>
                    <w:rPr>
                      <w:rFonts w:ascii="Calibri" w:hAnsi="Calibri"/>
                      <w:color w:val="000000"/>
                      <w:sz w:val="20"/>
                      <w:szCs w:val="20"/>
                    </w:rPr>
                    <w:t>LED Fixture: High/Low Bay, 125 LPW to &lt;135 LPW, 246 to &lt;283 W</w:t>
                  </w:r>
                </w:p>
              </w:tc>
              <w:tc>
                <w:tcPr>
                  <w:tcW w:w="1440" w:type="dxa"/>
                  <w:tcBorders>
                    <w:top w:val="nil"/>
                    <w:left w:val="single" w:sz="4" w:space="0" w:color="auto"/>
                    <w:bottom w:val="single" w:sz="4" w:space="0" w:color="auto"/>
                    <w:right w:val="single" w:sz="4" w:space="0" w:color="auto"/>
                  </w:tcBorders>
                  <w:shd w:val="clear" w:color="auto" w:fill="auto"/>
                  <w:vAlign w:val="bottom"/>
                </w:tcPr>
                <w:p w14:paraId="6EA6A876" w14:textId="4389E9BD" w:rsidR="0007740A" w:rsidRPr="00036409" w:rsidRDefault="0007740A" w:rsidP="0007740A">
                  <w:pPr>
                    <w:tabs>
                      <w:tab w:val="right" w:pos="6732"/>
                    </w:tabs>
                    <w:rPr>
                      <w:rFonts w:cstheme="minorHAnsi"/>
                      <w:sz w:val="20"/>
                      <w:szCs w:val="20"/>
                    </w:rPr>
                  </w:pPr>
                  <w:r>
                    <w:rPr>
                      <w:rFonts w:ascii="Calibri" w:hAnsi="Calibri"/>
                      <w:color w:val="000000"/>
                      <w:szCs w:val="22"/>
                    </w:rPr>
                    <w:t>LEDFixt(282.99w)</w:t>
                  </w:r>
                </w:p>
              </w:tc>
              <w:tc>
                <w:tcPr>
                  <w:tcW w:w="990" w:type="dxa"/>
                  <w:tcBorders>
                    <w:top w:val="nil"/>
                    <w:left w:val="single" w:sz="4" w:space="0" w:color="auto"/>
                    <w:bottom w:val="single" w:sz="4" w:space="0" w:color="auto"/>
                    <w:right w:val="single" w:sz="4" w:space="0" w:color="auto"/>
                  </w:tcBorders>
                  <w:shd w:val="clear" w:color="auto" w:fill="auto"/>
                  <w:vAlign w:val="bottom"/>
                </w:tcPr>
                <w:p w14:paraId="0A999C06" w14:textId="03F3F08B" w:rsidR="0007740A" w:rsidRPr="00036409" w:rsidRDefault="0007740A" w:rsidP="0007740A">
                  <w:pPr>
                    <w:tabs>
                      <w:tab w:val="right" w:pos="6732"/>
                    </w:tabs>
                    <w:rPr>
                      <w:rFonts w:cstheme="minorHAnsi"/>
                      <w:sz w:val="20"/>
                      <w:szCs w:val="20"/>
                    </w:rPr>
                  </w:pPr>
                  <w:r>
                    <w:rPr>
                      <w:rFonts w:ascii="Calibri" w:hAnsi="Calibri"/>
                      <w:color w:val="000000"/>
                      <w:szCs w:val="22"/>
                    </w:rPr>
                    <w:t xml:space="preserve"> $ 40.00 </w:t>
                  </w:r>
                </w:p>
              </w:tc>
              <w:tc>
                <w:tcPr>
                  <w:tcW w:w="1199" w:type="dxa"/>
                  <w:tcBorders>
                    <w:top w:val="nil"/>
                    <w:left w:val="single" w:sz="4" w:space="0" w:color="auto"/>
                    <w:bottom w:val="single" w:sz="4" w:space="0" w:color="auto"/>
                    <w:right w:val="single" w:sz="4" w:space="0" w:color="auto"/>
                  </w:tcBorders>
                  <w:shd w:val="clear" w:color="auto" w:fill="auto"/>
                  <w:vAlign w:val="bottom"/>
                </w:tcPr>
                <w:p w14:paraId="42034E0C" w14:textId="789D8CC9" w:rsidR="0007740A" w:rsidRPr="00E07FAA" w:rsidRDefault="0007740A" w:rsidP="0007740A">
                  <w:pPr>
                    <w:tabs>
                      <w:tab w:val="right" w:pos="6732"/>
                    </w:tabs>
                    <w:rPr>
                      <w:rFonts w:cstheme="minorHAnsi"/>
                      <w:sz w:val="20"/>
                      <w:szCs w:val="20"/>
                    </w:rPr>
                  </w:pPr>
                  <w:r>
                    <w:rPr>
                      <w:rFonts w:ascii="Calibri" w:hAnsi="Calibri"/>
                      <w:color w:val="000000"/>
                      <w:szCs w:val="22"/>
                    </w:rPr>
                    <w:t xml:space="preserve"> $ 40.00 </w:t>
                  </w:r>
                </w:p>
              </w:tc>
            </w:tr>
            <w:bookmarkEnd w:id="7"/>
          </w:tbl>
          <w:p w14:paraId="7C01004F" w14:textId="190739CF" w:rsidR="003E7641" w:rsidRDefault="003E7641" w:rsidP="006412EA">
            <w:pPr>
              <w:tabs>
                <w:tab w:val="right" w:pos="6732"/>
              </w:tabs>
              <w:rPr>
                <w:rFonts w:cs="Arial"/>
                <w:sz w:val="20"/>
                <w:szCs w:val="20"/>
              </w:rPr>
            </w:pPr>
          </w:p>
          <w:p w14:paraId="4659C830" w14:textId="365DD282" w:rsidR="003E7641" w:rsidRPr="00476F40" w:rsidRDefault="003E7641" w:rsidP="006412EA">
            <w:pPr>
              <w:tabs>
                <w:tab w:val="right" w:pos="6732"/>
              </w:tabs>
              <w:rPr>
                <w:rFonts w:cs="Arial"/>
                <w:sz w:val="20"/>
                <w:szCs w:val="20"/>
              </w:rPr>
            </w:pPr>
          </w:p>
        </w:tc>
      </w:tr>
    </w:tbl>
    <w:p w14:paraId="4659C860" w14:textId="6ED3D1FA" w:rsidR="0059117D" w:rsidRDefault="0059117D" w:rsidP="0091074F">
      <w:pPr>
        <w:spacing w:after="200" w:line="276" w:lineRule="auto"/>
      </w:pPr>
    </w:p>
    <w:sectPr w:rsidR="005911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DA09E0" w14:textId="77777777" w:rsidR="004E4B24" w:rsidRDefault="004E4B24" w:rsidP="00FE520B">
      <w:r>
        <w:separator/>
      </w:r>
    </w:p>
  </w:endnote>
  <w:endnote w:type="continuationSeparator" w:id="0">
    <w:p w14:paraId="4F5900E5" w14:textId="77777777" w:rsidR="004E4B24" w:rsidRDefault="004E4B24" w:rsidP="00FE520B">
      <w:r>
        <w:continuationSeparator/>
      </w:r>
    </w:p>
  </w:endnote>
  <w:endnote w:id="1">
    <w:p w14:paraId="7029AF6A" w14:textId="77777777" w:rsidR="004E4B24" w:rsidRPr="0076474B" w:rsidRDefault="004E4B24" w:rsidP="008A7718">
      <w:pPr>
        <w:pStyle w:val="EndnoteText"/>
        <w:rPr>
          <w:rFonts w:ascii="Arial" w:hAnsi="Arial" w:cs="Arial"/>
        </w:rPr>
      </w:pPr>
    </w:p>
  </w:endnote>
  <w:endnote w:id="2">
    <w:p w14:paraId="662FEE05" w14:textId="13ED796E" w:rsidR="004E4B24" w:rsidRPr="0076474B" w:rsidRDefault="004E4B24" w:rsidP="00DA53D7">
      <w:pPr>
        <w:pStyle w:val="EndnoteText"/>
        <w:rPr>
          <w:rFonts w:ascii="Arial" w:hAnsi="Arial"/>
        </w:rPr>
      </w:pPr>
    </w:p>
    <w:p w14:paraId="57CB2190" w14:textId="77777777" w:rsidR="004E4B24" w:rsidRPr="0076474B" w:rsidRDefault="004E4B24" w:rsidP="00DA53D7">
      <w:pPr>
        <w:pStyle w:val="EndnoteText"/>
        <w:rPr>
          <w:rFonts w:ascii="Arial" w:hAnsi="Arial"/>
        </w:rPr>
      </w:pPr>
    </w:p>
  </w:endnote>
  <w:endnote w:id="3">
    <w:p w14:paraId="1FFCE5B4" w14:textId="26344FCC" w:rsidR="004E4B24" w:rsidRPr="0091074F" w:rsidRDefault="004E4B24" w:rsidP="0091074F">
      <w:pPr>
        <w:rPr>
          <w:rFonts w:ascii="Arial" w:hAnsi="Arial" w:cs="Arial"/>
          <w:sz w:val="20"/>
          <w:szCs w:val="20"/>
        </w:rPr>
      </w:pPr>
    </w:p>
  </w:endnote>
  <w:endnote w:id="4">
    <w:p w14:paraId="4404ED60" w14:textId="58ED1057" w:rsidR="004E4B24" w:rsidRPr="0076474B" w:rsidRDefault="004E4B24" w:rsidP="00EB4684">
      <w:pPr>
        <w:pStyle w:val="EndnoteText"/>
        <w:rPr>
          <w:rFonts w:ascii="Arial" w:hAnsi="Arial" w:cs="Arial"/>
        </w:rPr>
      </w:pPr>
    </w:p>
    <w:p w14:paraId="0C13648E" w14:textId="77777777" w:rsidR="004E4B24" w:rsidRPr="0076474B" w:rsidRDefault="004E4B24" w:rsidP="00EB4684">
      <w:pPr>
        <w:pStyle w:val="EndnoteText"/>
        <w:rPr>
          <w:rFonts w:ascii="Arial" w:hAnsi="Arial" w:cs="Arial"/>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2A717" w14:textId="77777777" w:rsidR="00563B2A" w:rsidRPr="00241A1F" w:rsidRDefault="00563B2A" w:rsidP="00563B2A">
    <w:pPr>
      <w:pStyle w:val="Footer"/>
      <w:rPr>
        <w:rFonts w:cstheme="minorHAnsi"/>
        <w:b/>
        <w:szCs w:val="22"/>
      </w:rPr>
    </w:pPr>
    <w:r>
      <w:rPr>
        <w:b/>
      </w:rPr>
      <w:t xml:space="preserve">Workpaper </w:t>
    </w:r>
    <w:r w:rsidRPr="00DE1C5D">
      <w:rPr>
        <w:b/>
      </w:rPr>
      <w:t>WPSDGE</w:t>
    </w:r>
    <w:r>
      <w:rPr>
        <w:b/>
      </w:rPr>
      <w:t>NRLG</w:t>
    </w:r>
    <w:r w:rsidRPr="00DE1C5D">
      <w:rPr>
        <w:b/>
      </w:rPr>
      <w:t>0</w:t>
    </w:r>
    <w:r>
      <w:rPr>
        <w:b/>
      </w:rPr>
      <w:t>080, Revision 4</w:t>
    </w:r>
    <w:r>
      <w:rPr>
        <w:b/>
      </w:rPr>
      <w:tab/>
    </w:r>
    <w:r>
      <w:rPr>
        <w:b/>
      </w:rPr>
      <w:tab/>
      <w:t>June</w:t>
    </w:r>
    <w:r>
      <w:rPr>
        <w:rFonts w:cstheme="minorHAnsi"/>
        <w:b/>
        <w:szCs w:val="22"/>
      </w:rPr>
      <w:t xml:space="preserve"> 4</w:t>
    </w:r>
    <w:r w:rsidRPr="00241A1F">
      <w:rPr>
        <w:rFonts w:cstheme="minorHAnsi"/>
        <w:b/>
        <w:szCs w:val="22"/>
      </w:rPr>
      <w:t>, 201</w:t>
    </w:r>
    <w:r>
      <w:rPr>
        <w:rFonts w:cstheme="minorHAnsi"/>
        <w:b/>
        <w:szCs w:val="22"/>
      </w:rPr>
      <w:t>8</w:t>
    </w:r>
  </w:p>
  <w:p w14:paraId="15B50B3D" w14:textId="77777777" w:rsidR="00563B2A" w:rsidRDefault="00563B2A" w:rsidP="00563B2A">
    <w:pPr>
      <w:pStyle w:val="Footer"/>
    </w:pPr>
    <w:r>
      <w:rPr>
        <w:b/>
      </w:rPr>
      <w:t>San Diego Gas &amp; Electric</w:t>
    </w:r>
    <w:r>
      <w:t xml:space="preserve"> </w:t>
    </w:r>
  </w:p>
  <w:p w14:paraId="1EF77631" w14:textId="6E8EB808" w:rsidR="00563B2A" w:rsidRDefault="00563B2A" w:rsidP="00563B2A">
    <w:pPr>
      <w:pStyle w:val="Footer"/>
      <w:jc w:val="center"/>
    </w:pPr>
    <w:r>
      <w:t xml:space="preserve">Page </w:t>
    </w:r>
    <w:sdt>
      <w:sdtPr>
        <w:id w:val="157146243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8C51D1">
          <w:rPr>
            <w:noProof/>
          </w:rPr>
          <w:t>6</w:t>
        </w:r>
        <w:r>
          <w:rPr>
            <w:noProof/>
          </w:rPr>
          <w:fldChar w:fldCharType="end"/>
        </w:r>
        <w:r>
          <w:rPr>
            <w:noProof/>
          </w:rPr>
          <w:t xml:space="preserve"> of 10</w:t>
        </w:r>
      </w:sdtContent>
    </w:sdt>
  </w:p>
  <w:p w14:paraId="4659C869" w14:textId="366BB947" w:rsidR="004E4B24" w:rsidRPr="0052546E" w:rsidRDefault="004E4B24" w:rsidP="005254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FCFD9" w14:textId="77777777" w:rsidR="004E4B24" w:rsidRDefault="004E4B24" w:rsidP="00FE520B">
      <w:r>
        <w:separator/>
      </w:r>
    </w:p>
  </w:footnote>
  <w:footnote w:type="continuationSeparator" w:id="0">
    <w:p w14:paraId="430BCCF9" w14:textId="77777777" w:rsidR="004E4B24" w:rsidRDefault="004E4B24" w:rsidP="00FE520B">
      <w:r>
        <w:continuationSeparator/>
      </w:r>
    </w:p>
  </w:footnote>
  <w:footnote w:id="1">
    <w:p w14:paraId="2A25F9AB" w14:textId="20B83555" w:rsidR="004E4B24" w:rsidRPr="0076474B" w:rsidRDefault="004E4B24" w:rsidP="008A7718">
      <w:pPr>
        <w:pStyle w:val="FootnoteText"/>
        <w:rPr>
          <w:rFonts w:ascii="Arial" w:hAnsi="Arial" w:cs="Aria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0368A"/>
    <w:multiLevelType w:val="hybridMultilevel"/>
    <w:tmpl w:val="F3AEE7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075917"/>
    <w:multiLevelType w:val="hybridMultilevel"/>
    <w:tmpl w:val="15780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C43736"/>
    <w:multiLevelType w:val="hybridMultilevel"/>
    <w:tmpl w:val="C41295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DBC6FD4"/>
    <w:multiLevelType w:val="hybridMultilevel"/>
    <w:tmpl w:val="CC161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9853F8"/>
    <w:multiLevelType w:val="hybridMultilevel"/>
    <w:tmpl w:val="4D00688A"/>
    <w:lvl w:ilvl="0" w:tplc="2196B82A">
      <w:start w:val="1"/>
      <w:numFmt w:val="bullet"/>
      <w:lvlText w:val=""/>
      <w:lvlJc w:val="left"/>
      <w:pPr>
        <w:tabs>
          <w:tab w:val="num" w:pos="504"/>
        </w:tabs>
        <w:ind w:left="288" w:hanging="72"/>
      </w:pPr>
      <w:rPr>
        <w:rFonts w:ascii="Wingdings" w:hAnsi="Wingdings" w:hint="default"/>
      </w:rPr>
    </w:lvl>
    <w:lvl w:ilvl="1" w:tplc="C72A4F4E">
      <w:start w:val="1"/>
      <w:numFmt w:val="bullet"/>
      <w:lvlText w:val="o"/>
      <w:lvlJc w:val="left"/>
      <w:pPr>
        <w:tabs>
          <w:tab w:val="num" w:pos="720"/>
        </w:tabs>
        <w:ind w:left="792" w:hanging="144"/>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6F16DF"/>
    <w:multiLevelType w:val="hybridMultilevel"/>
    <w:tmpl w:val="4734071A"/>
    <w:lvl w:ilvl="0" w:tplc="532E73EA">
      <w:start w:val="3"/>
      <w:numFmt w:val="bullet"/>
      <w:lvlText w:val=""/>
      <w:lvlJc w:val="left"/>
      <w:pPr>
        <w:ind w:left="360" w:hanging="360"/>
      </w:pPr>
      <w:rPr>
        <w:rFonts w:ascii="Symbol" w:eastAsia="Times New Roman" w:hAnsi="Symbol" w:cstheme="minorHAns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62C2542"/>
    <w:multiLevelType w:val="hybridMultilevel"/>
    <w:tmpl w:val="14148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4C1E6A"/>
    <w:multiLevelType w:val="hybridMultilevel"/>
    <w:tmpl w:val="B4FCC406"/>
    <w:lvl w:ilvl="0" w:tplc="4AA039BE">
      <w:start w:val="2613"/>
      <w:numFmt w:val="bullet"/>
      <w:lvlText w:val=""/>
      <w:lvlJc w:val="left"/>
      <w:pPr>
        <w:ind w:left="720" w:hanging="360"/>
      </w:pPr>
      <w:rPr>
        <w:rFonts w:ascii="Symbol" w:eastAsia="Times New Roman" w:hAnsi="Symbol"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9776D8E"/>
    <w:multiLevelType w:val="hybridMultilevel"/>
    <w:tmpl w:val="9CE8EFDA"/>
    <w:lvl w:ilvl="0" w:tplc="12549F60">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FE75DF5"/>
    <w:multiLevelType w:val="hybridMultilevel"/>
    <w:tmpl w:val="01162A42"/>
    <w:lvl w:ilvl="0" w:tplc="E7C079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4B3614A"/>
    <w:multiLevelType w:val="hybridMultilevel"/>
    <w:tmpl w:val="387AE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4DF0D2A"/>
    <w:multiLevelType w:val="hybridMultilevel"/>
    <w:tmpl w:val="10061F3C"/>
    <w:lvl w:ilvl="0" w:tplc="3D728C0E">
      <w:start w:val="1"/>
      <w:numFmt w:val="decimal"/>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18" w15:restartNumberingAfterBreak="0">
    <w:nsid w:val="71A23537"/>
    <w:multiLevelType w:val="hybridMultilevel"/>
    <w:tmpl w:val="FF38A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2856A2"/>
    <w:multiLevelType w:val="hybridMultilevel"/>
    <w:tmpl w:val="D11E2CA6"/>
    <w:lvl w:ilvl="0" w:tplc="0409000F">
      <w:start w:val="1"/>
      <w:numFmt w:val="decimal"/>
      <w:lvlText w:val="%1."/>
      <w:lvlJc w:val="left"/>
      <w:pPr>
        <w:ind w:left="720" w:hanging="360"/>
      </w:pPr>
    </w:lvl>
    <w:lvl w:ilvl="1" w:tplc="64546FB6">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10"/>
  </w:num>
  <w:num w:numId="3">
    <w:abstractNumId w:val="3"/>
  </w:num>
  <w:num w:numId="4">
    <w:abstractNumId w:val="13"/>
  </w:num>
  <w:num w:numId="5">
    <w:abstractNumId w:val="14"/>
  </w:num>
  <w:num w:numId="6">
    <w:abstractNumId w:val="11"/>
  </w:num>
  <w:num w:numId="7">
    <w:abstractNumId w:val="20"/>
  </w:num>
  <w:num w:numId="8">
    <w:abstractNumId w:val="18"/>
  </w:num>
  <w:num w:numId="9">
    <w:abstractNumId w:val="7"/>
  </w:num>
  <w:num w:numId="10">
    <w:abstractNumId w:val="0"/>
  </w:num>
  <w:num w:numId="11">
    <w:abstractNumId w:val="2"/>
  </w:num>
  <w:num w:numId="12">
    <w:abstractNumId w:val="17"/>
  </w:num>
  <w:num w:numId="13">
    <w:abstractNumId w:val="16"/>
  </w:num>
  <w:num w:numId="14">
    <w:abstractNumId w:val="4"/>
  </w:num>
  <w:num w:numId="15">
    <w:abstractNumId w:val="6"/>
  </w:num>
  <w:num w:numId="16">
    <w:abstractNumId w:val="5"/>
  </w:num>
  <w:num w:numId="17">
    <w:abstractNumId w:val="1"/>
  </w:num>
  <w:num w:numId="18">
    <w:abstractNumId w:val="12"/>
  </w:num>
  <w:num w:numId="19">
    <w:abstractNumId w:val="19"/>
  </w:num>
  <w:num w:numId="20">
    <w:abstractNumId w:val="15"/>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7C6"/>
    <w:rsid w:val="000116F0"/>
    <w:rsid w:val="00012A5F"/>
    <w:rsid w:val="00023C32"/>
    <w:rsid w:val="00036409"/>
    <w:rsid w:val="000473F3"/>
    <w:rsid w:val="00052743"/>
    <w:rsid w:val="00052CE4"/>
    <w:rsid w:val="0007740A"/>
    <w:rsid w:val="000A1CD2"/>
    <w:rsid w:val="000B5FB7"/>
    <w:rsid w:val="000E19CA"/>
    <w:rsid w:val="000F1EFD"/>
    <w:rsid w:val="000F6A78"/>
    <w:rsid w:val="000F72EF"/>
    <w:rsid w:val="00101467"/>
    <w:rsid w:val="00140A08"/>
    <w:rsid w:val="001650F5"/>
    <w:rsid w:val="001767C0"/>
    <w:rsid w:val="0018661A"/>
    <w:rsid w:val="00194466"/>
    <w:rsid w:val="001A01F7"/>
    <w:rsid w:val="001A1CCF"/>
    <w:rsid w:val="001B0418"/>
    <w:rsid w:val="001B1C8A"/>
    <w:rsid w:val="001C71F9"/>
    <w:rsid w:val="001D3B29"/>
    <w:rsid w:val="001D57D7"/>
    <w:rsid w:val="001E0EEE"/>
    <w:rsid w:val="001E6B56"/>
    <w:rsid w:val="00206D29"/>
    <w:rsid w:val="00215828"/>
    <w:rsid w:val="00225471"/>
    <w:rsid w:val="00241A1F"/>
    <w:rsid w:val="00256253"/>
    <w:rsid w:val="00280715"/>
    <w:rsid w:val="00291B2B"/>
    <w:rsid w:val="002A3E21"/>
    <w:rsid w:val="002E0948"/>
    <w:rsid w:val="002F767C"/>
    <w:rsid w:val="00304B97"/>
    <w:rsid w:val="00360CFA"/>
    <w:rsid w:val="003727CB"/>
    <w:rsid w:val="003A7B4E"/>
    <w:rsid w:val="003C2EE4"/>
    <w:rsid w:val="003D1C21"/>
    <w:rsid w:val="003E0DC8"/>
    <w:rsid w:val="003E122A"/>
    <w:rsid w:val="003E6FA5"/>
    <w:rsid w:val="003E7641"/>
    <w:rsid w:val="00413EF4"/>
    <w:rsid w:val="00421DAA"/>
    <w:rsid w:val="00443238"/>
    <w:rsid w:val="0045550F"/>
    <w:rsid w:val="00467DB3"/>
    <w:rsid w:val="004A3B92"/>
    <w:rsid w:val="004A6215"/>
    <w:rsid w:val="004D0326"/>
    <w:rsid w:val="004D5D19"/>
    <w:rsid w:val="004E4B24"/>
    <w:rsid w:val="004F06C0"/>
    <w:rsid w:val="0052546E"/>
    <w:rsid w:val="00563B2A"/>
    <w:rsid w:val="00572902"/>
    <w:rsid w:val="005731C6"/>
    <w:rsid w:val="0059117D"/>
    <w:rsid w:val="005A62DE"/>
    <w:rsid w:val="005B5614"/>
    <w:rsid w:val="005F029D"/>
    <w:rsid w:val="00610970"/>
    <w:rsid w:val="0063241B"/>
    <w:rsid w:val="00636490"/>
    <w:rsid w:val="006412EA"/>
    <w:rsid w:val="00684ABA"/>
    <w:rsid w:val="006A5F44"/>
    <w:rsid w:val="006B0D5C"/>
    <w:rsid w:val="006D5054"/>
    <w:rsid w:val="006E1A93"/>
    <w:rsid w:val="007165D8"/>
    <w:rsid w:val="00727839"/>
    <w:rsid w:val="00737A22"/>
    <w:rsid w:val="00766E2A"/>
    <w:rsid w:val="00771CE2"/>
    <w:rsid w:val="00787D7C"/>
    <w:rsid w:val="00797B54"/>
    <w:rsid w:val="007A13D4"/>
    <w:rsid w:val="007D1F1E"/>
    <w:rsid w:val="007D3A21"/>
    <w:rsid w:val="007F50D8"/>
    <w:rsid w:val="00804A55"/>
    <w:rsid w:val="00812169"/>
    <w:rsid w:val="0085355C"/>
    <w:rsid w:val="00856FA4"/>
    <w:rsid w:val="00866F8C"/>
    <w:rsid w:val="008702AF"/>
    <w:rsid w:val="008775D7"/>
    <w:rsid w:val="008A4224"/>
    <w:rsid w:val="008A7718"/>
    <w:rsid w:val="008C51D1"/>
    <w:rsid w:val="008D2681"/>
    <w:rsid w:val="0091074F"/>
    <w:rsid w:val="00910D54"/>
    <w:rsid w:val="00957C01"/>
    <w:rsid w:val="009875E4"/>
    <w:rsid w:val="00992F0C"/>
    <w:rsid w:val="009C3F2D"/>
    <w:rsid w:val="009E3512"/>
    <w:rsid w:val="00A051D9"/>
    <w:rsid w:val="00A23572"/>
    <w:rsid w:val="00A65F39"/>
    <w:rsid w:val="00A75EDC"/>
    <w:rsid w:val="00A84C92"/>
    <w:rsid w:val="00A9417C"/>
    <w:rsid w:val="00AD7B69"/>
    <w:rsid w:val="00AE2116"/>
    <w:rsid w:val="00AE7026"/>
    <w:rsid w:val="00B05A7F"/>
    <w:rsid w:val="00B452E6"/>
    <w:rsid w:val="00B47B58"/>
    <w:rsid w:val="00B551E7"/>
    <w:rsid w:val="00B57F32"/>
    <w:rsid w:val="00B61FCD"/>
    <w:rsid w:val="00B62AFB"/>
    <w:rsid w:val="00B80C3D"/>
    <w:rsid w:val="00B84B23"/>
    <w:rsid w:val="00B93A7D"/>
    <w:rsid w:val="00BE730F"/>
    <w:rsid w:val="00C06B9E"/>
    <w:rsid w:val="00C14EFA"/>
    <w:rsid w:val="00C414A6"/>
    <w:rsid w:val="00C82169"/>
    <w:rsid w:val="00CA1893"/>
    <w:rsid w:val="00CD1860"/>
    <w:rsid w:val="00CF0695"/>
    <w:rsid w:val="00D01A6A"/>
    <w:rsid w:val="00D54D7D"/>
    <w:rsid w:val="00D57F03"/>
    <w:rsid w:val="00D60240"/>
    <w:rsid w:val="00D73723"/>
    <w:rsid w:val="00D87E1A"/>
    <w:rsid w:val="00DA53D7"/>
    <w:rsid w:val="00DB65C3"/>
    <w:rsid w:val="00DB71F1"/>
    <w:rsid w:val="00DC48D7"/>
    <w:rsid w:val="00DC6F97"/>
    <w:rsid w:val="00DC7243"/>
    <w:rsid w:val="00DE1C5D"/>
    <w:rsid w:val="00DF15C1"/>
    <w:rsid w:val="00DF4A60"/>
    <w:rsid w:val="00E165FC"/>
    <w:rsid w:val="00E26082"/>
    <w:rsid w:val="00E372B8"/>
    <w:rsid w:val="00E56CE7"/>
    <w:rsid w:val="00E631BB"/>
    <w:rsid w:val="00E6385A"/>
    <w:rsid w:val="00E733C7"/>
    <w:rsid w:val="00E96D90"/>
    <w:rsid w:val="00EA7C74"/>
    <w:rsid w:val="00EB4684"/>
    <w:rsid w:val="00ED3B34"/>
    <w:rsid w:val="00EE38DA"/>
    <w:rsid w:val="00EF43DF"/>
    <w:rsid w:val="00F117C6"/>
    <w:rsid w:val="00F22B12"/>
    <w:rsid w:val="00F50541"/>
    <w:rsid w:val="00F77C08"/>
    <w:rsid w:val="00F855DD"/>
    <w:rsid w:val="00FB2AF9"/>
    <w:rsid w:val="00FE520B"/>
    <w:rsid w:val="00FF0B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659C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6412EA"/>
    <w:rPr>
      <w:rFonts w:ascii="Times New Roman" w:hAnsi="Times New Roman"/>
      <w:sz w:val="20"/>
      <w:szCs w:val="20"/>
    </w:rPr>
  </w:style>
  <w:style w:type="character" w:customStyle="1" w:styleId="EndnoteTextChar">
    <w:name w:val="Endnote Text Char"/>
    <w:basedOn w:val="DefaultParagraphFont"/>
    <w:link w:val="EndnoteText"/>
    <w:rsid w:val="006412EA"/>
    <w:rPr>
      <w:rFonts w:ascii="Times New Roman" w:eastAsia="Times New Roman" w:hAnsi="Times New Roman" w:cs="Times New Roman"/>
      <w:sz w:val="20"/>
      <w:szCs w:val="20"/>
    </w:rPr>
  </w:style>
  <w:style w:type="character" w:styleId="EndnoteReference">
    <w:name w:val="endnote reference"/>
    <w:semiHidden/>
    <w:rsid w:val="006412EA"/>
    <w:rPr>
      <w:vertAlign w:val="superscript"/>
    </w:rPr>
  </w:style>
  <w:style w:type="character" w:styleId="Hyperlink">
    <w:name w:val="Hyperlink"/>
    <w:uiPriority w:val="99"/>
    <w:rsid w:val="008A7718"/>
    <w:rPr>
      <w:color w:val="0000FF"/>
      <w:u w:val="single"/>
    </w:rPr>
  </w:style>
  <w:style w:type="character" w:styleId="UnresolvedMention">
    <w:name w:val="Unresolved Mention"/>
    <w:basedOn w:val="DefaultParagraphFont"/>
    <w:uiPriority w:val="99"/>
    <w:semiHidden/>
    <w:unhideWhenUsed/>
    <w:rsid w:val="00B80C3D"/>
    <w:rPr>
      <w:color w:val="808080"/>
      <w:shd w:val="clear" w:color="auto" w:fill="E6E6E6"/>
    </w:rPr>
  </w:style>
  <w:style w:type="paragraph" w:styleId="FootnoteText">
    <w:name w:val="footnote text"/>
    <w:basedOn w:val="Normal"/>
    <w:link w:val="FootnoteTextChar"/>
    <w:uiPriority w:val="99"/>
    <w:semiHidden/>
    <w:unhideWhenUsed/>
    <w:rsid w:val="0091074F"/>
    <w:rPr>
      <w:sz w:val="20"/>
      <w:szCs w:val="20"/>
    </w:rPr>
  </w:style>
  <w:style w:type="character" w:customStyle="1" w:styleId="FootnoteTextChar">
    <w:name w:val="Footnote Text Char"/>
    <w:basedOn w:val="DefaultParagraphFont"/>
    <w:link w:val="FootnoteText"/>
    <w:uiPriority w:val="99"/>
    <w:semiHidden/>
    <w:rsid w:val="0091074F"/>
    <w:rPr>
      <w:rFonts w:eastAsia="Times New Roman" w:cs="Times New Roman"/>
      <w:sz w:val="20"/>
      <w:szCs w:val="20"/>
    </w:rPr>
  </w:style>
  <w:style w:type="character" w:styleId="FootnoteReference">
    <w:name w:val="footnote reference"/>
    <w:basedOn w:val="DefaultParagraphFont"/>
    <w:uiPriority w:val="99"/>
    <w:semiHidden/>
    <w:unhideWhenUsed/>
    <w:rsid w:val="009107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2490434">
      <w:bodyDiv w:val="1"/>
      <w:marLeft w:val="0"/>
      <w:marRight w:val="0"/>
      <w:marTop w:val="0"/>
      <w:marBottom w:val="0"/>
      <w:divBdr>
        <w:top w:val="none" w:sz="0" w:space="0" w:color="auto"/>
        <w:left w:val="none" w:sz="0" w:space="0" w:color="auto"/>
        <w:bottom w:val="none" w:sz="0" w:space="0" w:color="auto"/>
        <w:right w:val="none" w:sz="0" w:space="0" w:color="auto"/>
      </w:divBdr>
    </w:div>
    <w:div w:id="707997483">
      <w:bodyDiv w:val="1"/>
      <w:marLeft w:val="0"/>
      <w:marRight w:val="0"/>
      <w:marTop w:val="0"/>
      <w:marBottom w:val="0"/>
      <w:divBdr>
        <w:top w:val="none" w:sz="0" w:space="0" w:color="auto"/>
        <w:left w:val="none" w:sz="0" w:space="0" w:color="auto"/>
        <w:bottom w:val="none" w:sz="0" w:space="0" w:color="auto"/>
        <w:right w:val="none" w:sz="0" w:space="0" w:color="auto"/>
      </w:divBdr>
    </w:div>
    <w:div w:id="1128091563">
      <w:bodyDiv w:val="1"/>
      <w:marLeft w:val="0"/>
      <w:marRight w:val="0"/>
      <w:marTop w:val="0"/>
      <w:marBottom w:val="0"/>
      <w:divBdr>
        <w:top w:val="none" w:sz="0" w:space="0" w:color="auto"/>
        <w:left w:val="none" w:sz="0" w:space="0" w:color="auto"/>
        <w:bottom w:val="none" w:sz="0" w:space="0" w:color="auto"/>
        <w:right w:val="none" w:sz="0" w:space="0" w:color="auto"/>
      </w:divBdr>
    </w:div>
    <w:div w:id="1634553473">
      <w:bodyDiv w:val="1"/>
      <w:marLeft w:val="0"/>
      <w:marRight w:val="0"/>
      <w:marTop w:val="0"/>
      <w:marBottom w:val="0"/>
      <w:divBdr>
        <w:top w:val="none" w:sz="0" w:space="0" w:color="auto"/>
        <w:left w:val="none" w:sz="0" w:space="0" w:color="auto"/>
        <w:bottom w:val="none" w:sz="0" w:space="0" w:color="auto"/>
        <w:right w:val="none" w:sz="0" w:space="0" w:color="auto"/>
      </w:divBdr>
    </w:div>
    <w:div w:id="1772706027">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 w:id="2120446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deeresources.net"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deeresources.ne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eeresources.net" TargetMode="External"/><Relationship Id="rId5" Type="http://schemas.openxmlformats.org/officeDocument/2006/relationships/settings" Target="settings.xml"/><Relationship Id="rId15" Type="http://schemas.openxmlformats.org/officeDocument/2006/relationships/hyperlink" Target="http://www.deeresources.net" TargetMode="Externa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www.deeresource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35B1C87-01F6-4381-B908-B94B28761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3434</Words>
  <Characters>19580</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2018-06-05T00:29:00Z</dcterms:created>
  <dcterms:modified xsi:type="dcterms:W3CDTF">2018-06-05T00:33:00Z</dcterms:modified>
</cp:coreProperties>
</file>